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60394" w14:textId="77777777" w:rsidR="00BA72F6" w:rsidRDefault="00BA72F6" w:rsidP="00BA72F6">
      <w:pPr>
        <w:jc w:val="center"/>
        <w:rPr>
          <w:rFonts w:ascii="Times New Roman" w:hAnsi="Times New Roman" w:cs="Times New Roman"/>
        </w:rPr>
      </w:pPr>
    </w:p>
    <w:p w14:paraId="5F9A58B5" w14:textId="77777777" w:rsidR="00BA72F6" w:rsidRDefault="00BA72F6" w:rsidP="00BA72F6">
      <w:pPr>
        <w:jc w:val="center"/>
        <w:rPr>
          <w:rFonts w:ascii="Times New Roman" w:hAnsi="Times New Roman" w:cs="Times New Roman"/>
        </w:rPr>
      </w:pPr>
    </w:p>
    <w:p w14:paraId="136FBE43" w14:textId="77777777" w:rsidR="00BA72F6" w:rsidRDefault="00BA72F6" w:rsidP="00BA72F6">
      <w:pPr>
        <w:jc w:val="center"/>
        <w:rPr>
          <w:rFonts w:ascii="Times New Roman" w:hAnsi="Times New Roman" w:cs="Times New Roman"/>
        </w:rPr>
      </w:pPr>
    </w:p>
    <w:p w14:paraId="5A3C2F88" w14:textId="77777777" w:rsidR="00BA72F6" w:rsidRDefault="00BA72F6" w:rsidP="00BA72F6">
      <w:pPr>
        <w:jc w:val="center"/>
        <w:rPr>
          <w:rFonts w:ascii="Times New Roman" w:hAnsi="Times New Roman" w:cs="Times New Roman"/>
        </w:rPr>
      </w:pPr>
    </w:p>
    <w:p w14:paraId="3F1DAA34" w14:textId="77777777" w:rsidR="00BA72F6" w:rsidRDefault="00BA72F6" w:rsidP="00BA72F6">
      <w:pPr>
        <w:jc w:val="center"/>
        <w:rPr>
          <w:rFonts w:ascii="Times New Roman" w:hAnsi="Times New Roman" w:cs="Times New Roman"/>
        </w:rPr>
      </w:pPr>
    </w:p>
    <w:p w14:paraId="788AE884" w14:textId="38296196" w:rsidR="00BA72F6" w:rsidRPr="0014169E" w:rsidRDefault="00BA72F6" w:rsidP="00BA72F6">
      <w:pPr>
        <w:jc w:val="center"/>
        <w:rPr>
          <w:rFonts w:ascii="Times New Roman" w:hAnsi="Times New Roman" w:cs="Times New Roman"/>
        </w:rPr>
      </w:pPr>
      <w:r>
        <w:rPr>
          <w:rFonts w:ascii="Times New Roman" w:hAnsi="Times New Roman" w:cs="Times New Roman"/>
        </w:rPr>
        <w:t>Draft Teaching Philosophy</w:t>
      </w:r>
    </w:p>
    <w:p w14:paraId="04070B10" w14:textId="77777777" w:rsidR="00BA72F6" w:rsidRPr="0014169E" w:rsidRDefault="00BA72F6" w:rsidP="00BA72F6">
      <w:pPr>
        <w:jc w:val="center"/>
        <w:rPr>
          <w:rFonts w:ascii="Times New Roman" w:hAnsi="Times New Roman" w:cs="Times New Roman"/>
        </w:rPr>
      </w:pPr>
    </w:p>
    <w:p w14:paraId="1D402913" w14:textId="77777777" w:rsidR="00BA72F6" w:rsidRPr="0014169E" w:rsidRDefault="00BA72F6" w:rsidP="00BA72F6">
      <w:pPr>
        <w:jc w:val="center"/>
        <w:rPr>
          <w:rFonts w:ascii="Times New Roman" w:hAnsi="Times New Roman" w:cs="Times New Roman"/>
        </w:rPr>
      </w:pPr>
    </w:p>
    <w:p w14:paraId="41748396" w14:textId="77777777" w:rsidR="00BA72F6" w:rsidRPr="0014169E" w:rsidRDefault="00BA72F6" w:rsidP="00BA72F6">
      <w:pPr>
        <w:jc w:val="center"/>
        <w:rPr>
          <w:rFonts w:ascii="Times New Roman" w:hAnsi="Times New Roman" w:cs="Times New Roman"/>
        </w:rPr>
      </w:pPr>
    </w:p>
    <w:p w14:paraId="2DE8E87C" w14:textId="77777777" w:rsidR="00BA72F6" w:rsidRPr="0014169E" w:rsidRDefault="00BA72F6" w:rsidP="00BA72F6">
      <w:pPr>
        <w:jc w:val="center"/>
        <w:rPr>
          <w:rFonts w:ascii="Times New Roman" w:hAnsi="Times New Roman" w:cs="Times New Roman"/>
        </w:rPr>
      </w:pPr>
      <w:r w:rsidRPr="0014169E">
        <w:rPr>
          <w:rFonts w:ascii="Times New Roman" w:hAnsi="Times New Roman" w:cs="Times New Roman"/>
        </w:rPr>
        <w:t>Vanessa M. Eddy</w:t>
      </w:r>
    </w:p>
    <w:p w14:paraId="5B2BB277" w14:textId="77777777" w:rsidR="00BA72F6" w:rsidRPr="0014169E" w:rsidRDefault="00BA72F6" w:rsidP="00BA72F6">
      <w:pPr>
        <w:jc w:val="center"/>
        <w:rPr>
          <w:rFonts w:ascii="Times New Roman" w:hAnsi="Times New Roman" w:cs="Times New Roman"/>
        </w:rPr>
      </w:pPr>
      <w:r w:rsidRPr="0014169E">
        <w:rPr>
          <w:rFonts w:ascii="Times New Roman" w:hAnsi="Times New Roman" w:cs="Times New Roman"/>
        </w:rPr>
        <w:br/>
        <w:t>University of Nebraska Medical Center</w:t>
      </w:r>
    </w:p>
    <w:p w14:paraId="366A5BC5" w14:textId="77777777" w:rsidR="00BA72F6" w:rsidRPr="0014169E" w:rsidRDefault="00BA72F6" w:rsidP="00BA72F6">
      <w:pPr>
        <w:jc w:val="center"/>
        <w:rPr>
          <w:rFonts w:ascii="Times New Roman" w:hAnsi="Times New Roman" w:cs="Times New Roman"/>
        </w:rPr>
      </w:pPr>
      <w:r w:rsidRPr="0014169E">
        <w:rPr>
          <w:rFonts w:ascii="Times New Roman" w:hAnsi="Times New Roman" w:cs="Times New Roman"/>
        </w:rPr>
        <w:br/>
        <w:t xml:space="preserve">CPH705/HRPO906: Public Health Teaching and Training </w:t>
      </w:r>
    </w:p>
    <w:p w14:paraId="294F548F" w14:textId="77777777" w:rsidR="00BA72F6" w:rsidRPr="0014169E" w:rsidRDefault="00BA72F6" w:rsidP="00BA72F6">
      <w:pPr>
        <w:jc w:val="center"/>
        <w:rPr>
          <w:rFonts w:ascii="Times New Roman" w:hAnsi="Times New Roman" w:cs="Times New Roman"/>
        </w:rPr>
      </w:pPr>
      <w:r w:rsidRPr="0014169E">
        <w:rPr>
          <w:rFonts w:ascii="Times New Roman" w:hAnsi="Times New Roman" w:cs="Times New Roman"/>
        </w:rPr>
        <w:br/>
        <w:t>Dr. Analisa McMillan</w:t>
      </w:r>
    </w:p>
    <w:p w14:paraId="636BAA12" w14:textId="23D9885B" w:rsidR="00BA72F6" w:rsidRPr="0014169E" w:rsidRDefault="00BA72F6" w:rsidP="00BA72F6">
      <w:pPr>
        <w:jc w:val="center"/>
        <w:rPr>
          <w:rFonts w:ascii="Times New Roman" w:hAnsi="Times New Roman" w:cs="Times New Roman"/>
        </w:rPr>
      </w:pPr>
      <w:r w:rsidRPr="0014169E">
        <w:rPr>
          <w:rFonts w:ascii="Times New Roman" w:hAnsi="Times New Roman" w:cs="Times New Roman"/>
        </w:rPr>
        <w:br/>
        <w:t xml:space="preserve">October </w:t>
      </w:r>
      <w:r>
        <w:rPr>
          <w:rFonts w:ascii="Times New Roman" w:hAnsi="Times New Roman" w:cs="Times New Roman"/>
        </w:rPr>
        <w:t>19</w:t>
      </w:r>
      <w:r w:rsidRPr="0014169E">
        <w:rPr>
          <w:rFonts w:ascii="Times New Roman" w:hAnsi="Times New Roman" w:cs="Times New Roman"/>
        </w:rPr>
        <w:t>, 2025</w:t>
      </w:r>
    </w:p>
    <w:p w14:paraId="34685041" w14:textId="77777777" w:rsidR="00BA72F6" w:rsidRDefault="00BA72F6" w:rsidP="00BA72F6">
      <w:pPr>
        <w:rPr>
          <w:rFonts w:ascii="Times New Roman" w:hAnsi="Times New Roman" w:cs="Times New Roman"/>
        </w:rPr>
      </w:pPr>
      <w:r>
        <w:rPr>
          <w:rFonts w:ascii="Times New Roman" w:hAnsi="Times New Roman" w:cs="Times New Roman"/>
        </w:rPr>
        <w:br w:type="page"/>
      </w:r>
    </w:p>
    <w:p w14:paraId="54767C99" w14:textId="6044802B" w:rsidR="00E613F5" w:rsidRPr="00E613F5" w:rsidRDefault="00E613F5" w:rsidP="00C84707">
      <w:pPr>
        <w:ind w:firstLine="720"/>
        <w:rPr>
          <w:rFonts w:ascii="Times New Roman" w:hAnsi="Times New Roman" w:cs="Times New Roman"/>
          <w:sz w:val="24"/>
          <w:szCs w:val="24"/>
        </w:rPr>
      </w:pPr>
      <w:r w:rsidRPr="00E613F5">
        <w:rPr>
          <w:rFonts w:ascii="Times New Roman" w:hAnsi="Times New Roman" w:cs="Times New Roman"/>
          <w:sz w:val="24"/>
          <w:szCs w:val="24"/>
        </w:rPr>
        <w:lastRenderedPageBreak/>
        <w:t>My teaching philosophy was not formed in the quiet order of a classroom, but in the chaos of crises. Before I ever stepped to the front of a seminar room, I served in biodefense and public health emergency roles, where the difference between success and failure often hinged not on technology or resources, but on education—on who understood the problem, who could communicate clearly, and who could make informed decisions under pressure. During Hurricane Katrina, the COVID-19 pandemic, and multiple biosafety preparedness efforts, I witnessed the consequences of gaps in scientific literacy, ethical reasoning, and shared understanding. Technical plans failed when people did not fully grasp them; policy collapsed when stakeholders spoke different “languages” of risk; and well-meaning experts struggled to collaborate because their conceptual frameworks were misaligned. At some point during those years, I realized that my “magic bullet” for saving the world was not a tool, laboratory protocol, or statute—it was teaching. The ability to break down complex challenges, communicate their implications in understandable terms, and empower people with knowledge was the most reliable instrument of resilience I had. That realization became the foundation of my commitment to education as a form of preparedness, empowerment, and ethical responsibility.</w:t>
      </w:r>
    </w:p>
    <w:p w14:paraId="2EA1EA5E" w14:textId="7D4B9DE8" w:rsidR="00C84707" w:rsidRPr="00C84707" w:rsidRDefault="00E613F5" w:rsidP="00C84707">
      <w:pPr>
        <w:ind w:firstLine="720"/>
        <w:rPr>
          <w:rFonts w:ascii="Times New Roman" w:hAnsi="Times New Roman" w:cs="Times New Roman"/>
          <w:sz w:val="24"/>
          <w:szCs w:val="24"/>
        </w:rPr>
      </w:pPr>
      <w:r w:rsidRPr="00E613F5">
        <w:rPr>
          <w:rFonts w:ascii="Times New Roman" w:hAnsi="Times New Roman" w:cs="Times New Roman"/>
          <w:sz w:val="24"/>
          <w:szCs w:val="24"/>
        </w:rPr>
        <w:t xml:space="preserve">Today, whether I am </w:t>
      </w:r>
      <w:r w:rsidRPr="00C84707">
        <w:rPr>
          <w:rFonts w:ascii="Times New Roman" w:hAnsi="Times New Roman" w:cs="Times New Roman"/>
          <w:sz w:val="24"/>
          <w:szCs w:val="24"/>
        </w:rPr>
        <w:t xml:space="preserve">thinking about </w:t>
      </w:r>
      <w:r w:rsidRPr="00E613F5">
        <w:rPr>
          <w:rFonts w:ascii="Times New Roman" w:hAnsi="Times New Roman" w:cs="Times New Roman"/>
          <w:sz w:val="24"/>
          <w:szCs w:val="24"/>
        </w:rPr>
        <w:t xml:space="preserve">teaching biosafety, bioethics, or emerging technology governance, I view education as the central mechanism through which society builds its capacity to solve complex problems. My goal is not merely to transfer information, but to transform the </w:t>
      </w:r>
      <w:proofErr w:type="gramStart"/>
      <w:r w:rsidRPr="00E613F5">
        <w:rPr>
          <w:rFonts w:ascii="Times New Roman" w:hAnsi="Times New Roman" w:cs="Times New Roman"/>
          <w:sz w:val="24"/>
          <w:szCs w:val="24"/>
        </w:rPr>
        <w:t>learner—</w:t>
      </w:r>
      <w:proofErr w:type="gramEnd"/>
      <w:r w:rsidRPr="00E613F5">
        <w:rPr>
          <w:rFonts w:ascii="Times New Roman" w:hAnsi="Times New Roman" w:cs="Times New Roman"/>
          <w:sz w:val="24"/>
          <w:szCs w:val="24"/>
        </w:rPr>
        <w:t>helping students cultivate habits of critical inquiry, ethical discernment, and interdisciplinary reflection so they can navigate a rapidly changing world. The classroom, for me, is not separate from society; it is a rehearsal space for it. What happens there should prepare learners to act with clarity, justice, and responsibility when the stakes are real.</w:t>
      </w:r>
    </w:p>
    <w:p w14:paraId="7A1A9F6B" w14:textId="77777777" w:rsidR="00E613F5" w:rsidRPr="00E613F5" w:rsidRDefault="00E613F5" w:rsidP="00C84707">
      <w:pPr>
        <w:ind w:firstLine="720"/>
        <w:rPr>
          <w:rFonts w:ascii="Times New Roman" w:hAnsi="Times New Roman" w:cs="Times New Roman"/>
          <w:sz w:val="24"/>
          <w:szCs w:val="24"/>
        </w:rPr>
      </w:pPr>
      <w:r w:rsidRPr="00E613F5">
        <w:rPr>
          <w:rFonts w:ascii="Times New Roman" w:hAnsi="Times New Roman" w:cs="Times New Roman"/>
          <w:sz w:val="24"/>
          <w:szCs w:val="24"/>
        </w:rPr>
        <w:t>The learning theory that most fundamentally shapes my teaching is constructivism, which holds that learners actively build knowledge through experience, dialogue, and reflection. Constructivism resonates deeply with the domains I teach—bioethics, biosafety, and emerging life sciences—because these fields demand more than memorization. They require students to wrestle with dilemmas, navigate uncertainty, and construct reasoned judgments in areas where the “right” answer is rarely obvious and where scientific advances (such as CRISPR or AI diagnostics) routinely outpace policy and regulation.</w:t>
      </w:r>
    </w:p>
    <w:p w14:paraId="6A62CE2B" w14:textId="3CB92AC0" w:rsidR="00E613F5" w:rsidRPr="00E613F5" w:rsidRDefault="00E613F5" w:rsidP="00C84707">
      <w:pPr>
        <w:ind w:firstLine="720"/>
        <w:rPr>
          <w:rFonts w:ascii="Times New Roman" w:hAnsi="Times New Roman" w:cs="Times New Roman"/>
          <w:sz w:val="24"/>
          <w:szCs w:val="24"/>
        </w:rPr>
      </w:pPr>
      <w:r w:rsidRPr="00E613F5">
        <w:rPr>
          <w:rFonts w:ascii="Times New Roman" w:hAnsi="Times New Roman" w:cs="Times New Roman"/>
          <w:sz w:val="24"/>
          <w:szCs w:val="24"/>
        </w:rPr>
        <w:t xml:space="preserve">Constructivist classrooms shift learners from passive receivers of information to active meaning-makers. In my courses, students do not simply learn ethical frameworks; they apply them. For example, when we study germline gene editing, I </w:t>
      </w:r>
      <w:r w:rsidRPr="00C84707">
        <w:rPr>
          <w:rFonts w:ascii="Times New Roman" w:hAnsi="Times New Roman" w:cs="Times New Roman"/>
          <w:sz w:val="24"/>
          <w:szCs w:val="24"/>
        </w:rPr>
        <w:t xml:space="preserve">can </w:t>
      </w:r>
      <w:r w:rsidRPr="00E613F5">
        <w:rPr>
          <w:rFonts w:ascii="Times New Roman" w:hAnsi="Times New Roman" w:cs="Times New Roman"/>
          <w:sz w:val="24"/>
          <w:szCs w:val="24"/>
        </w:rPr>
        <w:t xml:space="preserve">assign a </w:t>
      </w:r>
      <w:r w:rsidRPr="00C84707">
        <w:rPr>
          <w:rFonts w:ascii="Times New Roman" w:hAnsi="Times New Roman" w:cs="Times New Roman"/>
          <w:sz w:val="24"/>
          <w:szCs w:val="24"/>
        </w:rPr>
        <w:t xml:space="preserve">take a real </w:t>
      </w:r>
      <w:r w:rsidRPr="00E613F5">
        <w:rPr>
          <w:rFonts w:ascii="Times New Roman" w:hAnsi="Times New Roman" w:cs="Times New Roman"/>
          <w:sz w:val="24"/>
          <w:szCs w:val="24"/>
        </w:rPr>
        <w:t xml:space="preserve">case modeled on the CRISPR </w:t>
      </w:r>
      <w:proofErr w:type="gramStart"/>
      <w:r w:rsidRPr="00E613F5">
        <w:rPr>
          <w:rFonts w:ascii="Times New Roman" w:hAnsi="Times New Roman" w:cs="Times New Roman"/>
          <w:sz w:val="24"/>
          <w:szCs w:val="24"/>
        </w:rPr>
        <w:t>babies</w:t>
      </w:r>
      <w:proofErr w:type="gramEnd"/>
      <w:r w:rsidRPr="00E613F5">
        <w:rPr>
          <w:rFonts w:ascii="Times New Roman" w:hAnsi="Times New Roman" w:cs="Times New Roman"/>
          <w:sz w:val="24"/>
          <w:szCs w:val="24"/>
        </w:rPr>
        <w:t xml:space="preserve"> scandal and ask students to evaluate whether the intervention aligns with principles of autonomy, justice, beneficence, and nonmaleficence. They must take a position, justify it, revise it when confronted with counterevidence, and ultimately produce a reflection comparing their initial and final stance. This practice reinforces what research on constructivism shows: learning deepens when students iteratively confront their own assumptions, test ideas against real-world contexts, and revise their thinking.</w:t>
      </w:r>
    </w:p>
    <w:p w14:paraId="6B8C4307" w14:textId="77777777" w:rsidR="00E613F5" w:rsidRPr="00E613F5" w:rsidRDefault="00E613F5" w:rsidP="00C84707">
      <w:pPr>
        <w:ind w:firstLine="720"/>
        <w:rPr>
          <w:rFonts w:ascii="Times New Roman" w:hAnsi="Times New Roman" w:cs="Times New Roman"/>
          <w:sz w:val="24"/>
          <w:szCs w:val="24"/>
        </w:rPr>
      </w:pPr>
      <w:r w:rsidRPr="00E613F5">
        <w:rPr>
          <w:rFonts w:ascii="Times New Roman" w:hAnsi="Times New Roman" w:cs="Times New Roman"/>
          <w:sz w:val="24"/>
          <w:szCs w:val="24"/>
        </w:rPr>
        <w:t xml:space="preserve">I also use debate-driven seminars, which align with constructivist principles by requiring students to analyze multiple perspectives, articulate claims, and respond to opposing arguments. Topics include dual-use research of concern in synthetic biology or the ethics of AI-assisted </w:t>
      </w:r>
      <w:r w:rsidRPr="00E613F5">
        <w:rPr>
          <w:rFonts w:ascii="Times New Roman" w:hAnsi="Times New Roman" w:cs="Times New Roman"/>
          <w:sz w:val="24"/>
          <w:szCs w:val="24"/>
        </w:rPr>
        <w:lastRenderedPageBreak/>
        <w:t>triage. Students report their positions aloud, but I also collect debate transcripts or recordings to document growth in ethical reasoning and to make student learning visible. This allows both students and instructors to track the evolution of complexity in their thinking—evidence of learning grounded not in recall, but in cognitive development.</w:t>
      </w:r>
    </w:p>
    <w:p w14:paraId="7EF44399" w14:textId="77777777" w:rsidR="00E613F5" w:rsidRPr="00E613F5" w:rsidRDefault="00E613F5" w:rsidP="00C84707">
      <w:pPr>
        <w:ind w:firstLine="720"/>
        <w:rPr>
          <w:rFonts w:ascii="Times New Roman" w:hAnsi="Times New Roman" w:cs="Times New Roman"/>
          <w:sz w:val="24"/>
          <w:szCs w:val="24"/>
        </w:rPr>
      </w:pPr>
      <w:r w:rsidRPr="00E613F5">
        <w:rPr>
          <w:rFonts w:ascii="Times New Roman" w:hAnsi="Times New Roman" w:cs="Times New Roman"/>
          <w:sz w:val="24"/>
          <w:szCs w:val="24"/>
        </w:rPr>
        <w:t xml:space="preserve">Complementing constructivism, I also draw on Social Learning Theory, which emphasizes the power of observation, modeling, and reinforcement. Bioethics and biosafety are inherently social practices; learners must observe trusted role models to understand not only </w:t>
      </w:r>
      <w:r w:rsidRPr="00E613F5">
        <w:rPr>
          <w:rFonts w:ascii="Times New Roman" w:hAnsi="Times New Roman" w:cs="Times New Roman"/>
          <w:i/>
          <w:iCs/>
          <w:sz w:val="24"/>
          <w:szCs w:val="24"/>
        </w:rPr>
        <w:t>what</w:t>
      </w:r>
      <w:r w:rsidRPr="00E613F5">
        <w:rPr>
          <w:rFonts w:ascii="Times New Roman" w:hAnsi="Times New Roman" w:cs="Times New Roman"/>
          <w:sz w:val="24"/>
          <w:szCs w:val="24"/>
        </w:rPr>
        <w:t xml:space="preserve"> to do, but </w:t>
      </w:r>
      <w:r w:rsidRPr="00E613F5">
        <w:rPr>
          <w:rFonts w:ascii="Times New Roman" w:hAnsi="Times New Roman" w:cs="Times New Roman"/>
          <w:i/>
          <w:iCs/>
          <w:sz w:val="24"/>
          <w:szCs w:val="24"/>
        </w:rPr>
        <w:t>how</w:t>
      </w:r>
      <w:r w:rsidRPr="00E613F5">
        <w:rPr>
          <w:rFonts w:ascii="Times New Roman" w:hAnsi="Times New Roman" w:cs="Times New Roman"/>
          <w:sz w:val="24"/>
          <w:szCs w:val="24"/>
        </w:rPr>
        <w:t xml:space="preserve"> to enact ethical behavior under real-world pressures. I therefore incorporate ethical mentorship, peer modeling, and scenario-based role-play. In one activity, students watch senior researchers role-play an ethical response to a dual-use discovery, then rehearse their own response, record it, and receive both peer and instructor feedback. Paired with reflective journals and peer-evaluation rubrics, this approach reinforces that ethical reasoning is a social, iterative, and practiced skill—not merely an intellectual exercise.</w:t>
      </w:r>
    </w:p>
    <w:p w14:paraId="7BD23FB0" w14:textId="77777777" w:rsidR="00E613F5" w:rsidRPr="00E613F5" w:rsidRDefault="00E613F5" w:rsidP="00C84707">
      <w:pPr>
        <w:ind w:firstLine="720"/>
        <w:rPr>
          <w:rFonts w:ascii="Times New Roman" w:hAnsi="Times New Roman" w:cs="Times New Roman"/>
          <w:sz w:val="24"/>
          <w:szCs w:val="24"/>
        </w:rPr>
      </w:pPr>
      <w:r w:rsidRPr="00E613F5">
        <w:rPr>
          <w:rFonts w:ascii="Times New Roman" w:hAnsi="Times New Roman" w:cs="Times New Roman"/>
          <w:sz w:val="24"/>
          <w:szCs w:val="24"/>
        </w:rPr>
        <w:t xml:space="preserve">Together, constructivism and Social Learning Theory provide a dual foundation: one helps learners build knowledge through inquiry, while the other helps them internalize ethical behaviors through modeling. The evidence of learning in this framework emerges through student </w:t>
      </w:r>
      <w:proofErr w:type="gramStart"/>
      <w:r w:rsidRPr="00E613F5">
        <w:rPr>
          <w:rFonts w:ascii="Times New Roman" w:hAnsi="Times New Roman" w:cs="Times New Roman"/>
          <w:sz w:val="24"/>
          <w:szCs w:val="24"/>
        </w:rPr>
        <w:t>artifacts—</w:t>
      </w:r>
      <w:proofErr w:type="gramEnd"/>
      <w:r w:rsidRPr="00E613F5">
        <w:rPr>
          <w:rFonts w:ascii="Times New Roman" w:hAnsi="Times New Roman" w:cs="Times New Roman"/>
          <w:sz w:val="24"/>
          <w:szCs w:val="24"/>
        </w:rPr>
        <w:t>reflection papers, concept maps, debate recordings, and ethical decision-making narratives—that reveal not just what students know, but how their reasoning evolves.</w:t>
      </w:r>
    </w:p>
    <w:p w14:paraId="32B49780" w14:textId="6A06B223" w:rsidR="00E613F5" w:rsidRPr="00E613F5" w:rsidRDefault="00C84707" w:rsidP="00C84707">
      <w:pPr>
        <w:ind w:firstLine="720"/>
        <w:rPr>
          <w:rFonts w:ascii="Times New Roman" w:hAnsi="Times New Roman" w:cs="Times New Roman"/>
          <w:sz w:val="24"/>
          <w:szCs w:val="24"/>
        </w:rPr>
      </w:pPr>
      <w:r w:rsidRPr="00C84707">
        <w:rPr>
          <w:rFonts w:ascii="Times New Roman" w:hAnsi="Times New Roman" w:cs="Times New Roman"/>
          <w:sz w:val="24"/>
          <w:szCs w:val="24"/>
        </w:rPr>
        <w:t>B</w:t>
      </w:r>
      <w:r w:rsidR="00E613F5" w:rsidRPr="00E613F5">
        <w:rPr>
          <w:rFonts w:ascii="Times New Roman" w:hAnsi="Times New Roman" w:cs="Times New Roman"/>
          <w:sz w:val="24"/>
          <w:szCs w:val="24"/>
        </w:rPr>
        <w:t>ecause my teaching philosophy centers on constructing knowledge through authentic engagement, I prioritize case-based learning, debates, role-plays, and community-of-practice mentorship models. These methods reflect the nature of biosafety and bioethics work, where professionals must collaborate, justify decisions, and communicate clearly to diverse audiences.</w:t>
      </w:r>
    </w:p>
    <w:p w14:paraId="5524DACC" w14:textId="1B527094" w:rsidR="00E613F5" w:rsidRPr="00E613F5" w:rsidRDefault="00E613F5" w:rsidP="00C84707">
      <w:pPr>
        <w:ind w:firstLine="720"/>
        <w:rPr>
          <w:rFonts w:ascii="Times New Roman" w:hAnsi="Times New Roman" w:cs="Times New Roman"/>
          <w:sz w:val="24"/>
          <w:szCs w:val="24"/>
        </w:rPr>
      </w:pPr>
      <w:r w:rsidRPr="00E613F5">
        <w:rPr>
          <w:rFonts w:ascii="Times New Roman" w:hAnsi="Times New Roman" w:cs="Times New Roman"/>
          <w:sz w:val="24"/>
          <w:szCs w:val="24"/>
        </w:rPr>
        <w:t xml:space="preserve">My courses follow </w:t>
      </w:r>
      <w:r w:rsidR="00BA72F6" w:rsidRPr="00E613F5">
        <w:rPr>
          <w:rFonts w:ascii="Times New Roman" w:hAnsi="Times New Roman" w:cs="Times New Roman"/>
          <w:sz w:val="24"/>
          <w:szCs w:val="24"/>
        </w:rPr>
        <w:t>design</w:t>
      </w:r>
      <w:r w:rsidRPr="00E613F5">
        <w:rPr>
          <w:rFonts w:ascii="Times New Roman" w:hAnsi="Times New Roman" w:cs="Times New Roman"/>
          <w:sz w:val="24"/>
          <w:szCs w:val="24"/>
        </w:rPr>
        <w:t xml:space="preserve"> progression: students encounter a scenario, analyze it with ethical and scientific tools, debate or apply a position, and reflect on what they learned. Cases are drawn from real </w:t>
      </w:r>
      <w:r w:rsidR="00BA72F6" w:rsidRPr="00E613F5">
        <w:rPr>
          <w:rFonts w:ascii="Times New Roman" w:hAnsi="Times New Roman" w:cs="Times New Roman"/>
          <w:sz w:val="24"/>
          <w:szCs w:val="24"/>
        </w:rPr>
        <w:t xml:space="preserve">controversies, </w:t>
      </w:r>
      <w:r w:rsidRPr="00E613F5">
        <w:rPr>
          <w:rFonts w:ascii="Times New Roman" w:hAnsi="Times New Roman" w:cs="Times New Roman"/>
          <w:sz w:val="24"/>
          <w:szCs w:val="24"/>
        </w:rPr>
        <w:t>gain-of-function research, privacy risks of genomic databases, or inequities in global health emergency response. Students engage more deeply when learning is anchored to real stakes, and they leave with an understanding that scientific decisions are inseparable from social consequences.</w:t>
      </w:r>
    </w:p>
    <w:p w14:paraId="01EAA106" w14:textId="77777777" w:rsidR="00E613F5" w:rsidRPr="00E613F5" w:rsidRDefault="00E613F5" w:rsidP="00C84707">
      <w:pPr>
        <w:ind w:firstLine="360"/>
        <w:rPr>
          <w:rFonts w:ascii="Times New Roman" w:hAnsi="Times New Roman" w:cs="Times New Roman"/>
          <w:sz w:val="24"/>
          <w:szCs w:val="24"/>
        </w:rPr>
      </w:pPr>
      <w:r w:rsidRPr="00E613F5">
        <w:rPr>
          <w:rFonts w:ascii="Times New Roman" w:hAnsi="Times New Roman" w:cs="Times New Roman"/>
          <w:sz w:val="24"/>
          <w:szCs w:val="24"/>
        </w:rPr>
        <w:t xml:space="preserve">Because ethical science also requires strong mentorship, one of my driving instructional questions is: </w:t>
      </w:r>
      <w:r w:rsidRPr="00E613F5">
        <w:rPr>
          <w:rFonts w:ascii="Times New Roman" w:hAnsi="Times New Roman" w:cs="Times New Roman"/>
          <w:i/>
          <w:iCs/>
          <w:sz w:val="24"/>
          <w:szCs w:val="24"/>
        </w:rPr>
        <w:t>How can I ensure learners have continuous access to strong role models in ethical decision-making?</w:t>
      </w:r>
      <w:r w:rsidRPr="00E613F5">
        <w:rPr>
          <w:rFonts w:ascii="Times New Roman" w:hAnsi="Times New Roman" w:cs="Times New Roman"/>
          <w:sz w:val="24"/>
          <w:szCs w:val="24"/>
        </w:rPr>
        <w:t xml:space="preserve"> In response, I incorporate structured mentorship through:</w:t>
      </w:r>
    </w:p>
    <w:p w14:paraId="21301FA6" w14:textId="77777777" w:rsidR="00E613F5" w:rsidRPr="00E613F5" w:rsidRDefault="00E613F5" w:rsidP="00E613F5">
      <w:pPr>
        <w:numPr>
          <w:ilvl w:val="0"/>
          <w:numId w:val="4"/>
        </w:numPr>
        <w:rPr>
          <w:rFonts w:ascii="Times New Roman" w:hAnsi="Times New Roman" w:cs="Times New Roman"/>
          <w:sz w:val="24"/>
          <w:szCs w:val="24"/>
        </w:rPr>
      </w:pPr>
      <w:r w:rsidRPr="00E613F5">
        <w:rPr>
          <w:rFonts w:ascii="Times New Roman" w:hAnsi="Times New Roman" w:cs="Times New Roman"/>
          <w:sz w:val="24"/>
          <w:szCs w:val="24"/>
        </w:rPr>
        <w:t>Peer-to-peer modeling, where students observe one another’s reasoning and communication techniques.</w:t>
      </w:r>
    </w:p>
    <w:p w14:paraId="4E3AED30" w14:textId="77777777" w:rsidR="00E613F5" w:rsidRPr="00E613F5" w:rsidRDefault="00E613F5" w:rsidP="00E613F5">
      <w:pPr>
        <w:numPr>
          <w:ilvl w:val="0"/>
          <w:numId w:val="4"/>
        </w:numPr>
        <w:rPr>
          <w:rFonts w:ascii="Times New Roman" w:hAnsi="Times New Roman" w:cs="Times New Roman"/>
          <w:sz w:val="24"/>
          <w:szCs w:val="24"/>
        </w:rPr>
      </w:pPr>
      <w:r w:rsidRPr="00E613F5">
        <w:rPr>
          <w:rFonts w:ascii="Times New Roman" w:hAnsi="Times New Roman" w:cs="Times New Roman"/>
          <w:sz w:val="24"/>
          <w:szCs w:val="24"/>
        </w:rPr>
        <w:t>Mentor pairing, connecting students with experienced researchers who model transparency and responsible conduct.</w:t>
      </w:r>
    </w:p>
    <w:p w14:paraId="45AA18AA" w14:textId="77777777" w:rsidR="00E613F5" w:rsidRPr="00E613F5" w:rsidRDefault="00E613F5" w:rsidP="00E613F5">
      <w:pPr>
        <w:numPr>
          <w:ilvl w:val="0"/>
          <w:numId w:val="4"/>
        </w:numPr>
        <w:rPr>
          <w:rFonts w:ascii="Times New Roman" w:hAnsi="Times New Roman" w:cs="Times New Roman"/>
          <w:sz w:val="24"/>
          <w:szCs w:val="24"/>
        </w:rPr>
      </w:pPr>
      <w:r w:rsidRPr="00E613F5">
        <w:rPr>
          <w:rFonts w:ascii="Times New Roman" w:hAnsi="Times New Roman" w:cs="Times New Roman"/>
          <w:sz w:val="24"/>
          <w:szCs w:val="24"/>
        </w:rPr>
        <w:t>Guided reflection, where students extract lessons about integrity, communication, and leadership.</w:t>
      </w:r>
    </w:p>
    <w:p w14:paraId="2980FD83" w14:textId="743A48E2" w:rsidR="00E613F5" w:rsidRPr="00E613F5" w:rsidRDefault="00E613F5" w:rsidP="00C84707">
      <w:pPr>
        <w:ind w:firstLine="360"/>
        <w:rPr>
          <w:rFonts w:ascii="Times New Roman" w:hAnsi="Times New Roman" w:cs="Times New Roman"/>
          <w:sz w:val="24"/>
          <w:szCs w:val="24"/>
        </w:rPr>
      </w:pPr>
      <w:r w:rsidRPr="00E613F5">
        <w:rPr>
          <w:rFonts w:ascii="Times New Roman" w:hAnsi="Times New Roman" w:cs="Times New Roman"/>
          <w:sz w:val="24"/>
          <w:szCs w:val="24"/>
        </w:rPr>
        <w:lastRenderedPageBreak/>
        <w:t xml:space="preserve">To document evidence of effectiveness, I collect classroom </w:t>
      </w:r>
      <w:r w:rsidR="00BA72F6" w:rsidRPr="00E613F5">
        <w:rPr>
          <w:rFonts w:ascii="Times New Roman" w:hAnsi="Times New Roman" w:cs="Times New Roman"/>
          <w:sz w:val="24"/>
          <w:szCs w:val="24"/>
        </w:rPr>
        <w:t>artifact</w:t>
      </w:r>
      <w:r w:rsidR="00BA72F6">
        <w:rPr>
          <w:rFonts w:ascii="Times New Roman" w:hAnsi="Times New Roman" w:cs="Times New Roman"/>
          <w:sz w:val="24"/>
          <w:szCs w:val="24"/>
        </w:rPr>
        <w:t>s,</w:t>
      </w:r>
      <w:r w:rsidR="00BA72F6" w:rsidRPr="00E613F5">
        <w:rPr>
          <w:rFonts w:ascii="Times New Roman" w:hAnsi="Times New Roman" w:cs="Times New Roman"/>
          <w:sz w:val="24"/>
          <w:szCs w:val="24"/>
        </w:rPr>
        <w:t xml:space="preserve"> </w:t>
      </w:r>
      <w:r w:rsidRPr="00E613F5">
        <w:rPr>
          <w:rFonts w:ascii="Times New Roman" w:hAnsi="Times New Roman" w:cs="Times New Roman"/>
          <w:sz w:val="24"/>
          <w:szCs w:val="24"/>
        </w:rPr>
        <w:t>video role-play recordings, concept maps, student reflections, debate rubrics, and peer-evaluation data. These artifacts allow me to assess not only comprehension, but growth in applied reasoning, communication, and ethical judgment.</w:t>
      </w:r>
    </w:p>
    <w:p w14:paraId="45D21778" w14:textId="77777777" w:rsidR="00E613F5" w:rsidRPr="00E613F5" w:rsidRDefault="00E613F5" w:rsidP="00C84707">
      <w:pPr>
        <w:ind w:firstLine="720"/>
        <w:rPr>
          <w:rFonts w:ascii="Times New Roman" w:hAnsi="Times New Roman" w:cs="Times New Roman"/>
          <w:sz w:val="24"/>
          <w:szCs w:val="24"/>
        </w:rPr>
      </w:pPr>
      <w:r w:rsidRPr="00E613F5">
        <w:rPr>
          <w:rFonts w:ascii="Times New Roman" w:hAnsi="Times New Roman" w:cs="Times New Roman"/>
          <w:sz w:val="24"/>
          <w:szCs w:val="24"/>
        </w:rPr>
        <w:t>To maximize equity, accessibility, and measurable outcomes, my courses are delivered in three modalities: (1) in-person workshops for applied problem-solving, (2) synchronous online sessions (e.g., Zoom) for global reach, and (3) asynchronous Learning Management System modules for flexible, self-paced learning. Regardless of format, I apply consistent assessment tools so that learning evidence is comparable across modalities.</w:t>
      </w:r>
    </w:p>
    <w:p w14:paraId="27DB2C3D" w14:textId="77777777" w:rsidR="00E613F5" w:rsidRPr="00E613F5" w:rsidRDefault="00E613F5" w:rsidP="00E613F5">
      <w:pPr>
        <w:rPr>
          <w:rFonts w:ascii="Times New Roman" w:hAnsi="Times New Roman" w:cs="Times New Roman"/>
          <w:sz w:val="24"/>
          <w:szCs w:val="24"/>
        </w:rPr>
      </w:pPr>
      <w:r w:rsidRPr="00E613F5">
        <w:rPr>
          <w:rFonts w:ascii="Times New Roman" w:hAnsi="Times New Roman" w:cs="Times New Roman"/>
          <w:sz w:val="24"/>
          <w:szCs w:val="24"/>
        </w:rPr>
        <w:t>I use a multi-tiered assessment system:</w:t>
      </w:r>
    </w:p>
    <w:p w14:paraId="1E3CEB3E" w14:textId="77777777" w:rsidR="00E613F5" w:rsidRPr="00E613F5" w:rsidRDefault="00E613F5" w:rsidP="00E613F5">
      <w:pPr>
        <w:numPr>
          <w:ilvl w:val="0"/>
          <w:numId w:val="5"/>
        </w:numPr>
        <w:rPr>
          <w:rFonts w:ascii="Times New Roman" w:hAnsi="Times New Roman" w:cs="Times New Roman"/>
          <w:sz w:val="24"/>
          <w:szCs w:val="24"/>
        </w:rPr>
      </w:pPr>
      <w:r w:rsidRPr="00E613F5">
        <w:rPr>
          <w:rFonts w:ascii="Times New Roman" w:hAnsi="Times New Roman" w:cs="Times New Roman"/>
          <w:sz w:val="24"/>
          <w:szCs w:val="24"/>
        </w:rPr>
        <w:t>Formative assessments: quizzes, polling questions, case discussion boards, and short reflection prompts.</w:t>
      </w:r>
    </w:p>
    <w:p w14:paraId="22195D27" w14:textId="77777777" w:rsidR="00E613F5" w:rsidRPr="00E613F5" w:rsidRDefault="00E613F5" w:rsidP="00E613F5">
      <w:pPr>
        <w:numPr>
          <w:ilvl w:val="0"/>
          <w:numId w:val="5"/>
        </w:numPr>
        <w:rPr>
          <w:rFonts w:ascii="Times New Roman" w:hAnsi="Times New Roman" w:cs="Times New Roman"/>
          <w:sz w:val="24"/>
          <w:szCs w:val="24"/>
        </w:rPr>
      </w:pPr>
      <w:r w:rsidRPr="00E613F5">
        <w:rPr>
          <w:rFonts w:ascii="Times New Roman" w:hAnsi="Times New Roman" w:cs="Times New Roman"/>
          <w:sz w:val="24"/>
          <w:szCs w:val="24"/>
        </w:rPr>
        <w:t>Performance assessments: case study analyses, legal or policy research, oral presentations, debate participation, and ethical decision memos.</w:t>
      </w:r>
    </w:p>
    <w:p w14:paraId="42175A6A" w14:textId="77777777" w:rsidR="00E613F5" w:rsidRPr="00E613F5" w:rsidRDefault="00E613F5" w:rsidP="00E613F5">
      <w:pPr>
        <w:numPr>
          <w:ilvl w:val="0"/>
          <w:numId w:val="5"/>
        </w:numPr>
        <w:rPr>
          <w:rFonts w:ascii="Times New Roman" w:hAnsi="Times New Roman" w:cs="Times New Roman"/>
          <w:sz w:val="24"/>
          <w:szCs w:val="24"/>
        </w:rPr>
      </w:pPr>
      <w:r w:rsidRPr="00E613F5">
        <w:rPr>
          <w:rFonts w:ascii="Times New Roman" w:hAnsi="Times New Roman" w:cs="Times New Roman"/>
          <w:sz w:val="24"/>
          <w:szCs w:val="24"/>
        </w:rPr>
        <w:t>Immediate post-instruction evaluation: surveys measuring perceived learning, relevance, and presenter effectiveness, distributed via print (in-person), QR-linked Microsoft Forms (Zoom), or LMS-embedded forms (asynchronous).</w:t>
      </w:r>
    </w:p>
    <w:p w14:paraId="14F465A8" w14:textId="77777777" w:rsidR="00E613F5" w:rsidRPr="00E613F5" w:rsidRDefault="00E613F5" w:rsidP="00E613F5">
      <w:pPr>
        <w:numPr>
          <w:ilvl w:val="0"/>
          <w:numId w:val="5"/>
        </w:numPr>
        <w:rPr>
          <w:rFonts w:ascii="Times New Roman" w:hAnsi="Times New Roman" w:cs="Times New Roman"/>
          <w:sz w:val="24"/>
          <w:szCs w:val="24"/>
        </w:rPr>
      </w:pPr>
      <w:r w:rsidRPr="00E613F5">
        <w:rPr>
          <w:rFonts w:ascii="Times New Roman" w:hAnsi="Times New Roman" w:cs="Times New Roman"/>
          <w:sz w:val="24"/>
          <w:szCs w:val="24"/>
        </w:rPr>
        <w:t>Long-term retention assessments: a six-month follow-up survey evaluating retention, real-world application, barriers to implementation, and sustained relevance.</w:t>
      </w:r>
    </w:p>
    <w:p w14:paraId="7EECAD01" w14:textId="77777777" w:rsidR="00E613F5" w:rsidRPr="00E613F5" w:rsidRDefault="00E613F5" w:rsidP="00E613F5">
      <w:pPr>
        <w:numPr>
          <w:ilvl w:val="0"/>
          <w:numId w:val="5"/>
        </w:numPr>
        <w:rPr>
          <w:rFonts w:ascii="Times New Roman" w:hAnsi="Times New Roman" w:cs="Times New Roman"/>
          <w:sz w:val="24"/>
          <w:szCs w:val="24"/>
        </w:rPr>
      </w:pPr>
      <w:r w:rsidRPr="00E613F5">
        <w:rPr>
          <w:rFonts w:ascii="Times New Roman" w:hAnsi="Times New Roman" w:cs="Times New Roman"/>
          <w:sz w:val="24"/>
          <w:szCs w:val="24"/>
        </w:rPr>
        <w:t>Optional qualitative focus groups: to gain deeper insight into behavior change and skill transfer.</w:t>
      </w:r>
    </w:p>
    <w:p w14:paraId="58B5EA6F" w14:textId="77777777" w:rsidR="00E613F5" w:rsidRPr="00E613F5" w:rsidRDefault="00E613F5" w:rsidP="00C84707">
      <w:pPr>
        <w:ind w:firstLine="360"/>
        <w:rPr>
          <w:rFonts w:ascii="Times New Roman" w:hAnsi="Times New Roman" w:cs="Times New Roman"/>
          <w:sz w:val="24"/>
          <w:szCs w:val="24"/>
        </w:rPr>
      </w:pPr>
      <w:r w:rsidRPr="00E613F5">
        <w:rPr>
          <w:rFonts w:ascii="Times New Roman" w:hAnsi="Times New Roman" w:cs="Times New Roman"/>
          <w:sz w:val="24"/>
          <w:szCs w:val="24"/>
        </w:rPr>
        <w:t>Assessment evidence includes both quantitative data (Likert-scale ratings, quiz scores, rubric scores) and qualitative data (open-ended reflections, recorded presentations, narrative feedback). This mixed-methods approach aligns with best practices in adult learning evaluation and ensures I am measuring not only knowledge acquisition, but application, confidence, and ethical growth over time.</w:t>
      </w:r>
    </w:p>
    <w:p w14:paraId="7E1D9224" w14:textId="6A010556" w:rsidR="00E613F5" w:rsidRPr="00E613F5" w:rsidRDefault="00E613F5" w:rsidP="00C84707">
      <w:pPr>
        <w:ind w:firstLine="360"/>
        <w:rPr>
          <w:rFonts w:ascii="Times New Roman" w:hAnsi="Times New Roman" w:cs="Times New Roman"/>
          <w:sz w:val="24"/>
          <w:szCs w:val="24"/>
        </w:rPr>
      </w:pPr>
      <w:r w:rsidRPr="00E613F5">
        <w:rPr>
          <w:rFonts w:ascii="Times New Roman" w:hAnsi="Times New Roman" w:cs="Times New Roman"/>
          <w:sz w:val="24"/>
          <w:szCs w:val="24"/>
        </w:rPr>
        <w:t>Just as I assess students, I must also assess myself. My teaching improvement cycle includes:</w:t>
      </w:r>
    </w:p>
    <w:p w14:paraId="4F7C5D39" w14:textId="77777777" w:rsidR="00E613F5" w:rsidRPr="00E613F5" w:rsidRDefault="00E613F5" w:rsidP="00E613F5">
      <w:pPr>
        <w:numPr>
          <w:ilvl w:val="0"/>
          <w:numId w:val="6"/>
        </w:numPr>
        <w:rPr>
          <w:rFonts w:ascii="Times New Roman" w:hAnsi="Times New Roman" w:cs="Times New Roman"/>
          <w:sz w:val="24"/>
          <w:szCs w:val="24"/>
        </w:rPr>
      </w:pPr>
      <w:r w:rsidRPr="00E613F5">
        <w:rPr>
          <w:rFonts w:ascii="Times New Roman" w:hAnsi="Times New Roman" w:cs="Times New Roman"/>
          <w:sz w:val="24"/>
          <w:szCs w:val="24"/>
        </w:rPr>
        <w:t xml:space="preserve">End-of-course evaluations </w:t>
      </w:r>
      <w:proofErr w:type="gramStart"/>
      <w:r w:rsidRPr="00E613F5">
        <w:rPr>
          <w:rFonts w:ascii="Times New Roman" w:hAnsi="Times New Roman" w:cs="Times New Roman"/>
          <w:sz w:val="24"/>
          <w:szCs w:val="24"/>
        </w:rPr>
        <w:t>measuring</w:t>
      </w:r>
      <w:proofErr w:type="gramEnd"/>
      <w:r w:rsidRPr="00E613F5">
        <w:rPr>
          <w:rFonts w:ascii="Times New Roman" w:hAnsi="Times New Roman" w:cs="Times New Roman"/>
          <w:sz w:val="24"/>
          <w:szCs w:val="24"/>
        </w:rPr>
        <w:t xml:space="preserve"> clarity, organization, engagement, inclusivity, and ROI.</w:t>
      </w:r>
    </w:p>
    <w:p w14:paraId="71112E25" w14:textId="77777777" w:rsidR="00E613F5" w:rsidRPr="00E613F5" w:rsidRDefault="00E613F5" w:rsidP="00E613F5">
      <w:pPr>
        <w:numPr>
          <w:ilvl w:val="0"/>
          <w:numId w:val="6"/>
        </w:numPr>
        <w:rPr>
          <w:rFonts w:ascii="Times New Roman" w:hAnsi="Times New Roman" w:cs="Times New Roman"/>
          <w:sz w:val="24"/>
          <w:szCs w:val="24"/>
        </w:rPr>
      </w:pPr>
      <w:r w:rsidRPr="00E613F5">
        <w:rPr>
          <w:rFonts w:ascii="Times New Roman" w:hAnsi="Times New Roman" w:cs="Times New Roman"/>
          <w:sz w:val="24"/>
          <w:szCs w:val="24"/>
        </w:rPr>
        <w:t>Qualitative feedback analysis from open-ended survey responses and focus groups.</w:t>
      </w:r>
    </w:p>
    <w:p w14:paraId="3B24247F" w14:textId="77777777" w:rsidR="00E613F5" w:rsidRPr="00E613F5" w:rsidRDefault="00E613F5" w:rsidP="00E613F5">
      <w:pPr>
        <w:numPr>
          <w:ilvl w:val="0"/>
          <w:numId w:val="6"/>
        </w:numPr>
        <w:rPr>
          <w:rFonts w:ascii="Times New Roman" w:hAnsi="Times New Roman" w:cs="Times New Roman"/>
          <w:sz w:val="24"/>
          <w:szCs w:val="24"/>
        </w:rPr>
      </w:pPr>
      <w:r w:rsidRPr="00E613F5">
        <w:rPr>
          <w:rFonts w:ascii="Times New Roman" w:hAnsi="Times New Roman" w:cs="Times New Roman"/>
          <w:sz w:val="24"/>
          <w:szCs w:val="24"/>
        </w:rPr>
        <w:t>Teaching journals where I document what worked, what fell flat, and what needs redesign.</w:t>
      </w:r>
    </w:p>
    <w:p w14:paraId="7498FB11" w14:textId="77777777" w:rsidR="00E613F5" w:rsidRPr="00E613F5" w:rsidRDefault="00E613F5" w:rsidP="00E613F5">
      <w:pPr>
        <w:numPr>
          <w:ilvl w:val="0"/>
          <w:numId w:val="6"/>
        </w:numPr>
        <w:rPr>
          <w:rFonts w:ascii="Times New Roman" w:hAnsi="Times New Roman" w:cs="Times New Roman"/>
          <w:sz w:val="24"/>
          <w:szCs w:val="24"/>
        </w:rPr>
      </w:pPr>
      <w:r w:rsidRPr="00E613F5">
        <w:rPr>
          <w:rFonts w:ascii="Times New Roman" w:hAnsi="Times New Roman" w:cs="Times New Roman"/>
          <w:sz w:val="24"/>
          <w:szCs w:val="24"/>
        </w:rPr>
        <w:t>Peer observation to collect external insights on teaching presence, questioning strategies, and classroom climate.</w:t>
      </w:r>
    </w:p>
    <w:p w14:paraId="2BE4C0B3" w14:textId="77777777" w:rsidR="00E613F5" w:rsidRPr="00E613F5" w:rsidRDefault="00E613F5" w:rsidP="00E613F5">
      <w:pPr>
        <w:numPr>
          <w:ilvl w:val="0"/>
          <w:numId w:val="6"/>
        </w:numPr>
        <w:rPr>
          <w:rFonts w:ascii="Times New Roman" w:hAnsi="Times New Roman" w:cs="Times New Roman"/>
          <w:sz w:val="24"/>
          <w:szCs w:val="24"/>
        </w:rPr>
      </w:pPr>
      <w:r w:rsidRPr="00E613F5">
        <w:rPr>
          <w:rFonts w:ascii="Times New Roman" w:hAnsi="Times New Roman" w:cs="Times New Roman"/>
          <w:sz w:val="24"/>
          <w:szCs w:val="24"/>
        </w:rPr>
        <w:t>Curriculum mapping to ensure alignment between objectives, instruction, and assessment.</w:t>
      </w:r>
    </w:p>
    <w:p w14:paraId="01C160E2" w14:textId="77777777" w:rsidR="00E613F5" w:rsidRPr="00E613F5" w:rsidRDefault="00E613F5" w:rsidP="00C84707">
      <w:pPr>
        <w:ind w:firstLine="360"/>
        <w:rPr>
          <w:rFonts w:ascii="Times New Roman" w:hAnsi="Times New Roman" w:cs="Times New Roman"/>
          <w:sz w:val="24"/>
          <w:szCs w:val="24"/>
        </w:rPr>
      </w:pPr>
      <w:r w:rsidRPr="00E613F5">
        <w:rPr>
          <w:rFonts w:ascii="Times New Roman" w:hAnsi="Times New Roman" w:cs="Times New Roman"/>
          <w:sz w:val="24"/>
          <w:szCs w:val="24"/>
        </w:rPr>
        <w:lastRenderedPageBreak/>
        <w:t>Evidence of my teaching effectiveness is reflected in learner performance artifacts, evaluation scores, narrative testimonials, and the sustained application of skills by former participants. When students can confidently explain ethical frameworks, analyze complex scenarios, and articulate responsible research behaviors months after a course ends, that is the strongest evidence that teaching—and learning—has taken root.</w:t>
      </w:r>
    </w:p>
    <w:p w14:paraId="0F49C280" w14:textId="0E6854DA" w:rsidR="00E613F5" w:rsidRPr="00E613F5" w:rsidRDefault="00C84707" w:rsidP="00C84707">
      <w:pPr>
        <w:ind w:firstLine="720"/>
        <w:rPr>
          <w:rFonts w:ascii="Times New Roman" w:hAnsi="Times New Roman" w:cs="Times New Roman"/>
          <w:sz w:val="24"/>
          <w:szCs w:val="24"/>
        </w:rPr>
      </w:pPr>
      <w:r w:rsidRPr="00C84707">
        <w:rPr>
          <w:rFonts w:ascii="Times New Roman" w:hAnsi="Times New Roman" w:cs="Times New Roman"/>
          <w:sz w:val="24"/>
          <w:szCs w:val="24"/>
        </w:rPr>
        <w:t>M</w:t>
      </w:r>
      <w:r w:rsidR="00E613F5" w:rsidRPr="00E613F5">
        <w:rPr>
          <w:rFonts w:ascii="Times New Roman" w:hAnsi="Times New Roman" w:cs="Times New Roman"/>
          <w:sz w:val="24"/>
          <w:szCs w:val="24"/>
        </w:rPr>
        <w:t xml:space="preserve">y teaching philosophy is grounded in the belief that education is the most powerful tool for building ethical resilience in a complex world. Teaching is not the act of depositing information into passive minds; it is the practice of fostering curiosity, guiding discovery, and nurturing the capacity for lifelong critical thinking. Every learner arrives with experiences and perspectives that must be valued, challenged, and woven into the learning process. When learners feel included, respected, and intellectually safe, they take risks, push boundaries, and grow. When learning is connected to </w:t>
      </w:r>
      <w:r w:rsidR="00BA72F6" w:rsidRPr="00E613F5">
        <w:rPr>
          <w:rFonts w:ascii="Times New Roman" w:hAnsi="Times New Roman" w:cs="Times New Roman"/>
          <w:sz w:val="24"/>
          <w:szCs w:val="24"/>
        </w:rPr>
        <w:t xml:space="preserve">reality, </w:t>
      </w:r>
      <w:r w:rsidR="00E613F5" w:rsidRPr="00E613F5">
        <w:rPr>
          <w:rFonts w:ascii="Times New Roman" w:hAnsi="Times New Roman" w:cs="Times New Roman"/>
          <w:sz w:val="24"/>
          <w:szCs w:val="24"/>
        </w:rPr>
        <w:t xml:space="preserve">through case studies, ethical dilemmas, and lived </w:t>
      </w:r>
      <w:r w:rsidR="00BA72F6" w:rsidRPr="00E613F5">
        <w:rPr>
          <w:rFonts w:ascii="Times New Roman" w:hAnsi="Times New Roman" w:cs="Times New Roman"/>
          <w:sz w:val="24"/>
          <w:szCs w:val="24"/>
        </w:rPr>
        <w:t xml:space="preserve">crises, </w:t>
      </w:r>
      <w:r w:rsidR="00E613F5" w:rsidRPr="00E613F5">
        <w:rPr>
          <w:rFonts w:ascii="Times New Roman" w:hAnsi="Times New Roman" w:cs="Times New Roman"/>
          <w:sz w:val="24"/>
          <w:szCs w:val="24"/>
        </w:rPr>
        <w:t xml:space="preserve">they leave not only </w:t>
      </w:r>
      <w:r w:rsidR="00BA72F6" w:rsidRPr="00E613F5">
        <w:rPr>
          <w:rFonts w:ascii="Times New Roman" w:hAnsi="Times New Roman" w:cs="Times New Roman"/>
          <w:sz w:val="24"/>
          <w:szCs w:val="24"/>
        </w:rPr>
        <w:t>informed but</w:t>
      </w:r>
      <w:r w:rsidR="00E613F5" w:rsidRPr="00E613F5">
        <w:rPr>
          <w:rFonts w:ascii="Times New Roman" w:hAnsi="Times New Roman" w:cs="Times New Roman"/>
          <w:sz w:val="24"/>
          <w:szCs w:val="24"/>
        </w:rPr>
        <w:t xml:space="preserve"> transformed.</w:t>
      </w:r>
    </w:p>
    <w:p w14:paraId="1BB75F33" w14:textId="77777777" w:rsidR="00E613F5" w:rsidRPr="00E613F5" w:rsidRDefault="00E613F5" w:rsidP="00C84707">
      <w:pPr>
        <w:ind w:firstLine="720"/>
        <w:rPr>
          <w:rFonts w:ascii="Times New Roman" w:hAnsi="Times New Roman" w:cs="Times New Roman"/>
          <w:sz w:val="24"/>
          <w:szCs w:val="24"/>
        </w:rPr>
      </w:pPr>
      <w:r w:rsidRPr="00E613F5">
        <w:rPr>
          <w:rFonts w:ascii="Times New Roman" w:hAnsi="Times New Roman" w:cs="Times New Roman"/>
          <w:sz w:val="24"/>
          <w:szCs w:val="24"/>
        </w:rPr>
        <w:t xml:space="preserve">My commitments as an educator are clear. First, I will create inclusive learning environments where all voices can contribute and where questioning is encouraged as a pathway to clarity. Second, I will continuously bridge theory and practice so that students can apply what they learn to real problems—whether in laboratories, policy arenas, or communities. Third, I will model and mentor ethical behavior, recognizing that students learn as much from what we </w:t>
      </w:r>
      <w:r w:rsidRPr="00E613F5">
        <w:rPr>
          <w:rFonts w:ascii="Times New Roman" w:hAnsi="Times New Roman" w:cs="Times New Roman"/>
          <w:i/>
          <w:iCs/>
          <w:sz w:val="24"/>
          <w:szCs w:val="24"/>
        </w:rPr>
        <w:t>do</w:t>
      </w:r>
      <w:r w:rsidRPr="00E613F5">
        <w:rPr>
          <w:rFonts w:ascii="Times New Roman" w:hAnsi="Times New Roman" w:cs="Times New Roman"/>
          <w:sz w:val="24"/>
          <w:szCs w:val="24"/>
        </w:rPr>
        <w:t xml:space="preserve"> as what we </w:t>
      </w:r>
      <w:r w:rsidRPr="00E613F5">
        <w:rPr>
          <w:rFonts w:ascii="Times New Roman" w:hAnsi="Times New Roman" w:cs="Times New Roman"/>
          <w:i/>
          <w:iCs/>
          <w:sz w:val="24"/>
          <w:szCs w:val="24"/>
        </w:rPr>
        <w:t>say</w:t>
      </w:r>
      <w:r w:rsidRPr="00E613F5">
        <w:rPr>
          <w:rFonts w:ascii="Times New Roman" w:hAnsi="Times New Roman" w:cs="Times New Roman"/>
          <w:sz w:val="24"/>
          <w:szCs w:val="24"/>
        </w:rPr>
        <w:t>. Finally, I will treat teaching as a reflective and evidence-based profession, assessing both learner growth and my own practice to ensure continuous improvement.</w:t>
      </w:r>
    </w:p>
    <w:p w14:paraId="64CBF1EE" w14:textId="77777777" w:rsidR="00E613F5" w:rsidRPr="00E613F5" w:rsidRDefault="00E613F5" w:rsidP="00C84707">
      <w:pPr>
        <w:ind w:firstLine="720"/>
        <w:rPr>
          <w:rFonts w:ascii="Times New Roman" w:hAnsi="Times New Roman" w:cs="Times New Roman"/>
          <w:sz w:val="24"/>
          <w:szCs w:val="24"/>
        </w:rPr>
      </w:pPr>
      <w:r w:rsidRPr="00E613F5">
        <w:rPr>
          <w:rFonts w:ascii="Times New Roman" w:hAnsi="Times New Roman" w:cs="Times New Roman"/>
          <w:sz w:val="24"/>
          <w:szCs w:val="24"/>
        </w:rPr>
        <w:t>Knowledge without application is fragile. Knowledge combined with ethical reasoning, communication, and reflection becomes power—and that is what I aim to cultivate. I teach because education is preparedness. Education is equity. Education is resilience. And in a world where emerging technologies and biological risks will only grow more complex, education remains our most essential tool for imagining—and protecting—a better future.</w:t>
      </w:r>
    </w:p>
    <w:p w14:paraId="61BE5CDF" w14:textId="77777777" w:rsidR="00E613F5" w:rsidRPr="00AE360F" w:rsidRDefault="00E613F5">
      <w:pPr>
        <w:rPr>
          <w:rFonts w:ascii="Times New Roman" w:hAnsi="Times New Roman" w:cs="Times New Roman"/>
          <w:sz w:val="24"/>
          <w:szCs w:val="24"/>
        </w:rPr>
      </w:pPr>
    </w:p>
    <w:sectPr w:rsidR="00E613F5" w:rsidRPr="00AE360F" w:rsidSect="00BA72F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BEE1B" w14:textId="77777777" w:rsidR="00E67E27" w:rsidRDefault="00E67E27" w:rsidP="009320CE">
      <w:pPr>
        <w:spacing w:after="0" w:line="240" w:lineRule="auto"/>
      </w:pPr>
      <w:r>
        <w:separator/>
      </w:r>
    </w:p>
  </w:endnote>
  <w:endnote w:type="continuationSeparator" w:id="0">
    <w:p w14:paraId="7DC5926A" w14:textId="77777777" w:rsidR="00E67E27" w:rsidRDefault="00E67E27" w:rsidP="00932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72D4" w14:textId="77777777" w:rsidR="00E67E27" w:rsidRDefault="00E67E27" w:rsidP="009320CE">
      <w:pPr>
        <w:spacing w:after="0" w:line="240" w:lineRule="auto"/>
      </w:pPr>
      <w:r>
        <w:separator/>
      </w:r>
    </w:p>
  </w:footnote>
  <w:footnote w:type="continuationSeparator" w:id="0">
    <w:p w14:paraId="4E72EDBE" w14:textId="77777777" w:rsidR="00E67E27" w:rsidRDefault="00E67E27" w:rsidP="00932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972" w14:textId="268B45FC" w:rsidR="00BA72F6" w:rsidRPr="00A75EA0" w:rsidRDefault="00BA72F6" w:rsidP="00BA72F6">
    <w:pPr>
      <w:pStyle w:val="Header"/>
      <w:rPr>
        <w:rFonts w:ascii="Times New Roman" w:hAnsi="Times New Roman" w:cs="Times New Roman"/>
      </w:rPr>
    </w:pPr>
    <w:r w:rsidRPr="00A75EA0">
      <w:rPr>
        <w:rFonts w:ascii="Times New Roman" w:hAnsi="Times New Roman" w:cs="Times New Roman"/>
      </w:rPr>
      <w:t xml:space="preserve">Running Head: </w:t>
    </w:r>
    <w:r>
      <w:rPr>
        <w:rFonts w:ascii="Times New Roman" w:hAnsi="Times New Roman" w:cs="Times New Roman"/>
      </w:rPr>
      <w:t>Draft Teaching Philosophy</w:t>
    </w:r>
    <w:r w:rsidRPr="00A75EA0">
      <w:rPr>
        <w:rFonts w:ascii="Times New Roman" w:hAnsi="Times New Roman" w:cs="Times New Roman"/>
      </w:rPr>
      <w:t>, Eddy</w:t>
    </w:r>
    <w:r w:rsidRPr="00A75EA0">
      <w:rPr>
        <w:rFonts w:ascii="Times New Roman" w:hAnsi="Times New Roman" w:cs="Times New Roman"/>
      </w:rPr>
      <w:tab/>
    </w:r>
    <w:r w:rsidRPr="00A75EA0">
      <w:rPr>
        <w:rFonts w:ascii="Times New Roman" w:hAnsi="Times New Roman" w:cs="Times New Roman"/>
      </w:rPr>
      <w:tab/>
    </w:r>
    <w:sdt>
      <w:sdtPr>
        <w:rPr>
          <w:rFonts w:ascii="Times New Roman" w:hAnsi="Times New Roman" w:cs="Times New Roman"/>
        </w:rPr>
        <w:id w:val="-1524630338"/>
        <w:docPartObj>
          <w:docPartGallery w:val="Page Numbers (Top of Page)"/>
          <w:docPartUnique/>
        </w:docPartObj>
      </w:sdtPr>
      <w:sdtEndPr>
        <w:rPr>
          <w:noProof/>
        </w:rPr>
      </w:sdtEndPr>
      <w:sdtContent>
        <w:r w:rsidRPr="00A75EA0">
          <w:rPr>
            <w:rFonts w:ascii="Times New Roman" w:hAnsi="Times New Roman" w:cs="Times New Roman"/>
          </w:rPr>
          <w:fldChar w:fldCharType="begin"/>
        </w:r>
        <w:r w:rsidRPr="00A75EA0">
          <w:rPr>
            <w:rFonts w:ascii="Times New Roman" w:hAnsi="Times New Roman" w:cs="Times New Roman"/>
          </w:rPr>
          <w:instrText xml:space="preserve"> PAGE   \* MERGEFORMAT </w:instrText>
        </w:r>
        <w:r w:rsidRPr="00A75EA0">
          <w:rPr>
            <w:rFonts w:ascii="Times New Roman" w:hAnsi="Times New Roman" w:cs="Times New Roman"/>
          </w:rPr>
          <w:fldChar w:fldCharType="separate"/>
        </w:r>
        <w:r>
          <w:rPr>
            <w:rFonts w:ascii="Times New Roman" w:hAnsi="Times New Roman" w:cs="Times New Roman"/>
          </w:rPr>
          <w:t>2</w:t>
        </w:r>
        <w:r w:rsidRPr="00A75EA0">
          <w:rPr>
            <w:rFonts w:ascii="Times New Roman" w:hAnsi="Times New Roman" w:cs="Times New Roman"/>
            <w:noProof/>
          </w:rPr>
          <w:fldChar w:fldCharType="end"/>
        </w:r>
      </w:sdtContent>
    </w:sdt>
  </w:p>
  <w:p w14:paraId="7CE336EC" w14:textId="6A501C20" w:rsidR="009320CE" w:rsidRPr="00AE360F" w:rsidRDefault="009320CE">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0A69" w14:textId="02A234D2" w:rsidR="00BA72F6" w:rsidRDefault="00BA72F6">
    <w:pPr>
      <w:pStyle w:val="Header"/>
    </w:pPr>
    <w:r w:rsidRPr="00A75EA0">
      <w:rPr>
        <w:rFonts w:ascii="Times New Roman" w:hAnsi="Times New Roman" w:cs="Times New Roman"/>
      </w:rPr>
      <w:t xml:space="preserve">Running Head: </w:t>
    </w:r>
    <w:r>
      <w:rPr>
        <w:rFonts w:ascii="Times New Roman" w:hAnsi="Times New Roman" w:cs="Times New Roman"/>
      </w:rPr>
      <w:t>Draft Teaching Philosophy</w:t>
    </w:r>
    <w:r w:rsidRPr="00A75EA0">
      <w:rPr>
        <w:rFonts w:ascii="Times New Roman" w:hAnsi="Times New Roman" w:cs="Times New Roman"/>
      </w:rPr>
      <w:t>, Eddy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9C9"/>
    <w:multiLevelType w:val="multilevel"/>
    <w:tmpl w:val="3BD24EA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25740E79"/>
    <w:multiLevelType w:val="hybridMultilevel"/>
    <w:tmpl w:val="EF9863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145F0"/>
    <w:multiLevelType w:val="hybridMultilevel"/>
    <w:tmpl w:val="4724BB08"/>
    <w:lvl w:ilvl="0" w:tplc="FAAE962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C7113"/>
    <w:multiLevelType w:val="multilevel"/>
    <w:tmpl w:val="5548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80955"/>
    <w:multiLevelType w:val="multilevel"/>
    <w:tmpl w:val="7CAE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F2335A"/>
    <w:multiLevelType w:val="multilevel"/>
    <w:tmpl w:val="703C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652063">
    <w:abstractNumId w:val="1"/>
  </w:num>
  <w:num w:numId="2" w16cid:durableId="32778278">
    <w:abstractNumId w:val="2"/>
  </w:num>
  <w:num w:numId="3" w16cid:durableId="1832673606">
    <w:abstractNumId w:val="0"/>
  </w:num>
  <w:num w:numId="4" w16cid:durableId="693116448">
    <w:abstractNumId w:val="4"/>
  </w:num>
  <w:num w:numId="5" w16cid:durableId="1478110568">
    <w:abstractNumId w:val="5"/>
  </w:num>
  <w:num w:numId="6" w16cid:durableId="678430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CE"/>
    <w:rsid w:val="0036736B"/>
    <w:rsid w:val="003A0672"/>
    <w:rsid w:val="008D11E1"/>
    <w:rsid w:val="009320CE"/>
    <w:rsid w:val="009E01E8"/>
    <w:rsid w:val="00AE360F"/>
    <w:rsid w:val="00B67DB4"/>
    <w:rsid w:val="00BA72F6"/>
    <w:rsid w:val="00C84707"/>
    <w:rsid w:val="00E613F5"/>
    <w:rsid w:val="00E6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01E8A"/>
  <w15:chartTrackingRefBased/>
  <w15:docId w15:val="{BC28B3F7-C258-49AB-A324-38E2DA25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0CE"/>
    <w:pPr>
      <w:spacing w:line="259" w:lineRule="auto"/>
    </w:pPr>
    <w:rPr>
      <w:kern w:val="0"/>
      <w:sz w:val="22"/>
      <w:szCs w:val="22"/>
      <w14:ligatures w14:val="none"/>
    </w:rPr>
  </w:style>
  <w:style w:type="paragraph" w:styleId="Heading1">
    <w:name w:val="heading 1"/>
    <w:basedOn w:val="Normal"/>
    <w:next w:val="Normal"/>
    <w:link w:val="Heading1Char"/>
    <w:uiPriority w:val="9"/>
    <w:qFormat/>
    <w:rsid w:val="00932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0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0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0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0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0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0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0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0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0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0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0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0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0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0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0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0CE"/>
    <w:rPr>
      <w:rFonts w:eastAsiaTheme="majorEastAsia" w:cstheme="majorBidi"/>
      <w:color w:val="272727" w:themeColor="text1" w:themeTint="D8"/>
    </w:rPr>
  </w:style>
  <w:style w:type="paragraph" w:styleId="Title">
    <w:name w:val="Title"/>
    <w:basedOn w:val="Normal"/>
    <w:next w:val="Normal"/>
    <w:link w:val="TitleChar"/>
    <w:uiPriority w:val="10"/>
    <w:qFormat/>
    <w:rsid w:val="00932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0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0CE"/>
    <w:pPr>
      <w:spacing w:before="160"/>
      <w:jc w:val="center"/>
    </w:pPr>
    <w:rPr>
      <w:i/>
      <w:iCs/>
      <w:color w:val="404040" w:themeColor="text1" w:themeTint="BF"/>
    </w:rPr>
  </w:style>
  <w:style w:type="character" w:customStyle="1" w:styleId="QuoteChar">
    <w:name w:val="Quote Char"/>
    <w:basedOn w:val="DefaultParagraphFont"/>
    <w:link w:val="Quote"/>
    <w:uiPriority w:val="29"/>
    <w:rsid w:val="009320CE"/>
    <w:rPr>
      <w:i/>
      <w:iCs/>
      <w:color w:val="404040" w:themeColor="text1" w:themeTint="BF"/>
    </w:rPr>
  </w:style>
  <w:style w:type="paragraph" w:styleId="ListParagraph">
    <w:name w:val="List Paragraph"/>
    <w:basedOn w:val="Normal"/>
    <w:uiPriority w:val="34"/>
    <w:qFormat/>
    <w:rsid w:val="009320CE"/>
    <w:pPr>
      <w:ind w:left="720"/>
      <w:contextualSpacing/>
    </w:pPr>
  </w:style>
  <w:style w:type="character" w:styleId="IntenseEmphasis">
    <w:name w:val="Intense Emphasis"/>
    <w:basedOn w:val="DefaultParagraphFont"/>
    <w:uiPriority w:val="21"/>
    <w:qFormat/>
    <w:rsid w:val="009320CE"/>
    <w:rPr>
      <w:i/>
      <w:iCs/>
      <w:color w:val="0F4761" w:themeColor="accent1" w:themeShade="BF"/>
    </w:rPr>
  </w:style>
  <w:style w:type="paragraph" w:styleId="IntenseQuote">
    <w:name w:val="Intense Quote"/>
    <w:basedOn w:val="Normal"/>
    <w:next w:val="Normal"/>
    <w:link w:val="IntenseQuoteChar"/>
    <w:uiPriority w:val="30"/>
    <w:qFormat/>
    <w:rsid w:val="00932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0CE"/>
    <w:rPr>
      <w:i/>
      <w:iCs/>
      <w:color w:val="0F4761" w:themeColor="accent1" w:themeShade="BF"/>
    </w:rPr>
  </w:style>
  <w:style w:type="character" w:styleId="IntenseReference">
    <w:name w:val="Intense Reference"/>
    <w:basedOn w:val="DefaultParagraphFont"/>
    <w:uiPriority w:val="32"/>
    <w:qFormat/>
    <w:rsid w:val="009320CE"/>
    <w:rPr>
      <w:b/>
      <w:bCs/>
      <w:smallCaps/>
      <w:color w:val="0F4761" w:themeColor="accent1" w:themeShade="BF"/>
      <w:spacing w:val="5"/>
    </w:rPr>
  </w:style>
  <w:style w:type="table" w:styleId="TableGrid">
    <w:name w:val="Table Grid"/>
    <w:basedOn w:val="TableNormal"/>
    <w:uiPriority w:val="39"/>
    <w:rsid w:val="009320C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2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0CE"/>
    <w:rPr>
      <w:kern w:val="0"/>
      <w:sz w:val="22"/>
      <w:szCs w:val="22"/>
      <w14:ligatures w14:val="none"/>
    </w:rPr>
  </w:style>
  <w:style w:type="paragraph" w:styleId="Footer">
    <w:name w:val="footer"/>
    <w:basedOn w:val="Normal"/>
    <w:link w:val="FooterChar"/>
    <w:uiPriority w:val="99"/>
    <w:unhideWhenUsed/>
    <w:rsid w:val="00932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0CE"/>
    <w:rPr>
      <w:kern w:val="0"/>
      <w:sz w:val="22"/>
      <w:szCs w:val="22"/>
      <w14:ligatures w14:val="none"/>
    </w:rPr>
  </w:style>
  <w:style w:type="character" w:styleId="Hyperlink">
    <w:name w:val="Hyperlink"/>
    <w:basedOn w:val="DefaultParagraphFont"/>
    <w:uiPriority w:val="99"/>
    <w:unhideWhenUsed/>
    <w:rsid w:val="00B67DB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1509</Words>
  <Characters>10096</Characters>
  <Application>Microsoft Office Word</Application>
  <DocSecurity>0</DocSecurity>
  <Lines>229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Eddy</dc:creator>
  <cp:keywords/>
  <dc:description/>
  <cp:lastModifiedBy>Vanessa Eddy</cp:lastModifiedBy>
  <cp:revision>3</cp:revision>
  <dcterms:created xsi:type="dcterms:W3CDTF">2025-10-20T00:28:00Z</dcterms:created>
  <dcterms:modified xsi:type="dcterms:W3CDTF">2025-10-20T00:32:00Z</dcterms:modified>
</cp:coreProperties>
</file>