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52EB" w14:textId="77777777" w:rsidR="0081110B" w:rsidRDefault="0081110B" w:rsidP="00A4084B">
      <w:pPr>
        <w:jc w:val="center"/>
        <w:rPr>
          <w:rFonts w:ascii="Times New Roman" w:hAnsi="Times New Roman" w:cs="Times New Roman"/>
          <w:sz w:val="24"/>
          <w:szCs w:val="24"/>
        </w:rPr>
      </w:pPr>
    </w:p>
    <w:p w14:paraId="72954597" w14:textId="77777777" w:rsidR="0081110B" w:rsidRDefault="0081110B" w:rsidP="00A4084B">
      <w:pPr>
        <w:jc w:val="center"/>
        <w:rPr>
          <w:rFonts w:ascii="Times New Roman" w:hAnsi="Times New Roman" w:cs="Times New Roman"/>
          <w:sz w:val="24"/>
          <w:szCs w:val="24"/>
        </w:rPr>
      </w:pPr>
    </w:p>
    <w:p w14:paraId="66588336" w14:textId="77777777" w:rsidR="0081110B" w:rsidRDefault="0081110B" w:rsidP="00A4084B">
      <w:pPr>
        <w:jc w:val="center"/>
        <w:rPr>
          <w:rFonts w:ascii="Times New Roman" w:hAnsi="Times New Roman" w:cs="Times New Roman"/>
          <w:sz w:val="24"/>
          <w:szCs w:val="24"/>
        </w:rPr>
      </w:pPr>
    </w:p>
    <w:p w14:paraId="037B6B37" w14:textId="77777777" w:rsidR="0081110B" w:rsidRDefault="0081110B" w:rsidP="0081110B">
      <w:pPr>
        <w:spacing w:after="0" w:line="480" w:lineRule="auto"/>
        <w:jc w:val="center"/>
        <w:rPr>
          <w:rFonts w:ascii="Times New Roman" w:hAnsi="Times New Roman" w:cs="Times New Roman"/>
          <w:sz w:val="24"/>
          <w:szCs w:val="24"/>
        </w:rPr>
      </w:pPr>
    </w:p>
    <w:p w14:paraId="42C79122" w14:textId="30CCDD58" w:rsidR="00A4084B" w:rsidRPr="0081110B" w:rsidRDefault="00A4084B" w:rsidP="0081110B">
      <w:pPr>
        <w:spacing w:after="0" w:line="480" w:lineRule="auto"/>
        <w:jc w:val="center"/>
        <w:rPr>
          <w:rFonts w:ascii="Times New Roman" w:hAnsi="Times New Roman" w:cs="Times New Roman"/>
          <w:sz w:val="24"/>
          <w:szCs w:val="24"/>
        </w:rPr>
      </w:pPr>
      <w:r w:rsidRPr="0081110B">
        <w:rPr>
          <w:rFonts w:ascii="Times New Roman" w:hAnsi="Times New Roman" w:cs="Times New Roman"/>
          <w:sz w:val="24"/>
          <w:szCs w:val="24"/>
        </w:rPr>
        <w:t>Community Organization Paper</w:t>
      </w:r>
    </w:p>
    <w:p w14:paraId="0BD048AB" w14:textId="5AAB1BF3" w:rsidR="00A4084B" w:rsidRPr="0081110B" w:rsidRDefault="0081110B" w:rsidP="0081110B">
      <w:pPr>
        <w:spacing w:after="0" w:line="480" w:lineRule="auto"/>
        <w:jc w:val="center"/>
        <w:rPr>
          <w:rFonts w:ascii="Times New Roman" w:hAnsi="Times New Roman" w:cs="Times New Roman"/>
          <w:sz w:val="24"/>
          <w:szCs w:val="24"/>
        </w:rPr>
      </w:pPr>
      <w:r w:rsidRPr="0081110B">
        <w:rPr>
          <w:rFonts w:ascii="Times New Roman" w:hAnsi="Times New Roman" w:cs="Times New Roman"/>
          <w:sz w:val="24"/>
          <w:szCs w:val="24"/>
        </w:rPr>
        <w:t>Community Organization Paper: International Biosafety and Biosecurity Organization: Advancing Biosafety, Biosecurity, and Health Equity Through Global Governance</w:t>
      </w:r>
    </w:p>
    <w:p w14:paraId="50808B2E" w14:textId="77777777" w:rsidR="00A4084B" w:rsidRPr="0081110B" w:rsidRDefault="00A4084B" w:rsidP="0081110B">
      <w:pPr>
        <w:spacing w:after="0" w:line="480" w:lineRule="auto"/>
        <w:jc w:val="center"/>
        <w:rPr>
          <w:rFonts w:ascii="Times New Roman" w:hAnsi="Times New Roman" w:cs="Times New Roman"/>
          <w:sz w:val="24"/>
          <w:szCs w:val="24"/>
        </w:rPr>
      </w:pPr>
    </w:p>
    <w:p w14:paraId="6E68535A" w14:textId="77777777" w:rsidR="00A4084B" w:rsidRPr="0081110B" w:rsidRDefault="00A4084B" w:rsidP="0081110B">
      <w:pPr>
        <w:spacing w:after="0" w:line="480" w:lineRule="auto"/>
        <w:jc w:val="center"/>
        <w:rPr>
          <w:rFonts w:ascii="Times New Roman" w:hAnsi="Times New Roman" w:cs="Times New Roman"/>
          <w:sz w:val="24"/>
          <w:szCs w:val="24"/>
        </w:rPr>
      </w:pPr>
      <w:r w:rsidRPr="0081110B">
        <w:rPr>
          <w:rFonts w:ascii="Times New Roman" w:hAnsi="Times New Roman" w:cs="Times New Roman"/>
          <w:sz w:val="24"/>
          <w:szCs w:val="24"/>
        </w:rPr>
        <w:t>Vanessa Eddy</w:t>
      </w:r>
    </w:p>
    <w:p w14:paraId="33529643" w14:textId="77777777" w:rsidR="00A4084B" w:rsidRPr="0081110B" w:rsidRDefault="00A4084B" w:rsidP="0081110B">
      <w:pPr>
        <w:spacing w:after="0" w:line="480" w:lineRule="auto"/>
        <w:jc w:val="center"/>
        <w:rPr>
          <w:rFonts w:ascii="Times New Roman" w:hAnsi="Times New Roman" w:cs="Times New Roman"/>
          <w:sz w:val="24"/>
          <w:szCs w:val="24"/>
        </w:rPr>
      </w:pPr>
      <w:r w:rsidRPr="0081110B">
        <w:rPr>
          <w:rFonts w:ascii="Times New Roman" w:hAnsi="Times New Roman" w:cs="Times New Roman"/>
          <w:sz w:val="24"/>
          <w:szCs w:val="24"/>
        </w:rPr>
        <w:t>University of Nebraska Medical Center, College of Public Health</w:t>
      </w:r>
    </w:p>
    <w:p w14:paraId="025B57D8" w14:textId="77777777" w:rsidR="00A4084B" w:rsidRPr="0081110B" w:rsidRDefault="00A4084B" w:rsidP="0081110B">
      <w:pPr>
        <w:spacing w:after="0" w:line="480" w:lineRule="auto"/>
        <w:jc w:val="center"/>
        <w:rPr>
          <w:rFonts w:ascii="Times New Roman" w:hAnsi="Times New Roman" w:cs="Times New Roman"/>
          <w:sz w:val="24"/>
          <w:szCs w:val="24"/>
        </w:rPr>
      </w:pPr>
      <w:r w:rsidRPr="0081110B">
        <w:rPr>
          <w:rFonts w:ascii="Times New Roman" w:hAnsi="Times New Roman" w:cs="Times New Roman"/>
          <w:sz w:val="24"/>
          <w:szCs w:val="24"/>
        </w:rPr>
        <w:t>CPH 700/HRPO 900</w:t>
      </w:r>
    </w:p>
    <w:p w14:paraId="0545A23C" w14:textId="77777777" w:rsidR="00A4084B" w:rsidRPr="0081110B" w:rsidRDefault="00A4084B" w:rsidP="0081110B">
      <w:pPr>
        <w:spacing w:after="0" w:line="480" w:lineRule="auto"/>
        <w:jc w:val="center"/>
        <w:rPr>
          <w:rFonts w:ascii="Times New Roman" w:hAnsi="Times New Roman" w:cs="Times New Roman"/>
          <w:sz w:val="24"/>
          <w:szCs w:val="24"/>
        </w:rPr>
      </w:pPr>
      <w:r w:rsidRPr="0081110B">
        <w:rPr>
          <w:rFonts w:ascii="Times New Roman" w:hAnsi="Times New Roman" w:cs="Times New Roman"/>
          <w:sz w:val="24"/>
          <w:szCs w:val="24"/>
        </w:rPr>
        <w:t xml:space="preserve">Dr. Bradley </w:t>
      </w:r>
      <w:proofErr w:type="spellStart"/>
      <w:r w:rsidRPr="0081110B">
        <w:rPr>
          <w:rFonts w:ascii="Times New Roman" w:hAnsi="Times New Roman" w:cs="Times New Roman"/>
          <w:sz w:val="24"/>
          <w:szCs w:val="24"/>
        </w:rPr>
        <w:t>Ekwerekwu</w:t>
      </w:r>
      <w:proofErr w:type="spellEnd"/>
    </w:p>
    <w:p w14:paraId="5B6D8415" w14:textId="2EE8A83D" w:rsidR="00A4084B" w:rsidRPr="0081110B" w:rsidRDefault="00A4084B" w:rsidP="0081110B">
      <w:pPr>
        <w:spacing w:after="0" w:line="480" w:lineRule="auto"/>
        <w:jc w:val="center"/>
        <w:rPr>
          <w:rFonts w:ascii="Times New Roman" w:hAnsi="Times New Roman" w:cs="Times New Roman"/>
          <w:sz w:val="24"/>
          <w:szCs w:val="24"/>
        </w:rPr>
      </w:pPr>
      <w:r w:rsidRPr="0081110B">
        <w:rPr>
          <w:rFonts w:ascii="Times New Roman" w:hAnsi="Times New Roman" w:cs="Times New Roman"/>
          <w:sz w:val="24"/>
          <w:szCs w:val="24"/>
        </w:rPr>
        <w:t>August 11, 2025</w:t>
      </w:r>
    </w:p>
    <w:p w14:paraId="50D6E729" w14:textId="30A6F9CD" w:rsidR="00A34112" w:rsidRPr="00A4084B" w:rsidRDefault="00A4084B" w:rsidP="00A4084B">
      <w:pPr>
        <w:rPr>
          <w:rFonts w:ascii="Times New Roman" w:hAnsi="Times New Roman" w:cs="Times New Roman"/>
          <w:b/>
          <w:bCs/>
        </w:rPr>
      </w:pPr>
      <w:r w:rsidRPr="0081110B">
        <w:rPr>
          <w:rFonts w:ascii="Times New Roman" w:hAnsi="Times New Roman" w:cs="Times New Roman"/>
          <w:sz w:val="24"/>
          <w:szCs w:val="24"/>
        </w:rPr>
        <w:br w:type="page"/>
      </w:r>
      <w:r w:rsidRPr="00A4084B">
        <w:rPr>
          <w:rFonts w:ascii="Times New Roman" w:hAnsi="Times New Roman" w:cs="Times New Roman"/>
          <w:b/>
          <w:bCs/>
        </w:rPr>
        <w:lastRenderedPageBreak/>
        <w:t xml:space="preserve">Community Organization Paper: </w:t>
      </w:r>
      <w:r w:rsidRPr="00A4084B">
        <w:rPr>
          <w:rFonts w:ascii="Times New Roman" w:hAnsi="Times New Roman" w:cs="Times New Roman"/>
          <w:b/>
          <w:bCs/>
          <w:sz w:val="24"/>
          <w:szCs w:val="24"/>
        </w:rPr>
        <w:t xml:space="preserve">International Biosafety and Biosecurity Organization: Advancing </w:t>
      </w:r>
      <w:r w:rsidR="0081110B">
        <w:rPr>
          <w:rFonts w:ascii="Times New Roman" w:hAnsi="Times New Roman" w:cs="Times New Roman"/>
          <w:b/>
          <w:bCs/>
          <w:sz w:val="24"/>
          <w:szCs w:val="24"/>
        </w:rPr>
        <w:t xml:space="preserve">Biosafety, Biosecurity, and </w:t>
      </w:r>
      <w:r w:rsidRPr="00A4084B">
        <w:rPr>
          <w:rFonts w:ascii="Times New Roman" w:hAnsi="Times New Roman" w:cs="Times New Roman"/>
          <w:b/>
          <w:bCs/>
          <w:sz w:val="24"/>
          <w:szCs w:val="24"/>
        </w:rPr>
        <w:t>Health Equity Through Global Governance</w:t>
      </w:r>
    </w:p>
    <w:p w14:paraId="3F22C241" w14:textId="77777777" w:rsidR="00060E76" w:rsidRPr="007539ED" w:rsidRDefault="00060E76" w:rsidP="00060E76">
      <w:pPr>
        <w:rPr>
          <w:rFonts w:ascii="Times New Roman" w:hAnsi="Times New Roman" w:cs="Times New Roman"/>
          <w:sz w:val="24"/>
          <w:szCs w:val="24"/>
        </w:rPr>
      </w:pPr>
    </w:p>
    <w:p w14:paraId="5F6F0096" w14:textId="77777777"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Introduction</w:t>
      </w:r>
    </w:p>
    <w:p w14:paraId="7CDECD93" w14:textId="77777777" w:rsidR="007539ED" w:rsidRDefault="00000000" w:rsidP="00060E76">
      <w:pPr>
        <w:spacing w:after="0" w:line="480" w:lineRule="auto"/>
        <w:ind w:firstLine="720"/>
        <w:rPr>
          <w:rFonts w:ascii="Times New Roman" w:hAnsi="Times New Roman" w:cs="Times New Roman"/>
          <w:sz w:val="24"/>
          <w:szCs w:val="24"/>
        </w:rPr>
      </w:pPr>
      <w:r w:rsidRPr="007539ED">
        <w:rPr>
          <w:rFonts w:ascii="Times New Roman" w:hAnsi="Times New Roman" w:cs="Times New Roman"/>
          <w:sz w:val="24"/>
          <w:szCs w:val="24"/>
        </w:rPr>
        <w:t xml:space="preserve">Global health security depends on the prevention, detection, and response to biological threats, whether they emerge from natural outbreaks, laboratory accidents, or deliberate misuse. Biosafety and biosecurity are critical pillars in this effort, yet disparities in infrastructure, training, and resources create inequities in preparedness. </w:t>
      </w:r>
      <w:r w:rsidR="007539ED">
        <w:rPr>
          <w:rFonts w:ascii="Times New Roman" w:hAnsi="Times New Roman" w:cs="Times New Roman"/>
          <w:sz w:val="24"/>
          <w:szCs w:val="24"/>
        </w:rPr>
        <w:t>And biosafety and biosecurity concerns and potential for inadvertent disease spread</w:t>
      </w:r>
      <w:r w:rsidR="00B60A7F" w:rsidRPr="007539ED">
        <w:rPr>
          <w:rFonts w:ascii="Times New Roman" w:hAnsi="Times New Roman" w:cs="Times New Roman"/>
          <w:sz w:val="24"/>
          <w:szCs w:val="24"/>
        </w:rPr>
        <w:t xml:space="preserve"> are also</w:t>
      </w:r>
      <w:r w:rsidR="007539ED">
        <w:rPr>
          <w:rFonts w:ascii="Times New Roman" w:hAnsi="Times New Roman" w:cs="Times New Roman"/>
          <w:sz w:val="24"/>
          <w:szCs w:val="24"/>
        </w:rPr>
        <w:t xml:space="preserve"> highly</w:t>
      </w:r>
      <w:r w:rsidR="00B60A7F" w:rsidRPr="007539ED">
        <w:rPr>
          <w:rFonts w:ascii="Times New Roman" w:hAnsi="Times New Roman" w:cs="Times New Roman"/>
          <w:sz w:val="24"/>
          <w:szCs w:val="24"/>
        </w:rPr>
        <w:t xml:space="preserve"> prevalent in areas </w:t>
      </w:r>
      <w:r w:rsidR="007539ED">
        <w:rPr>
          <w:rFonts w:ascii="Times New Roman" w:hAnsi="Times New Roman" w:cs="Times New Roman"/>
          <w:sz w:val="24"/>
          <w:szCs w:val="24"/>
        </w:rPr>
        <w:t>a</w:t>
      </w:r>
      <w:r w:rsidR="00B60A7F" w:rsidRPr="007539ED">
        <w:rPr>
          <w:rFonts w:ascii="Times New Roman" w:hAnsi="Times New Roman" w:cs="Times New Roman"/>
          <w:sz w:val="24"/>
          <w:szCs w:val="24"/>
        </w:rPr>
        <w:t xml:space="preserve">lready beset by lower incomes and access to healthcare.  </w:t>
      </w:r>
    </w:p>
    <w:p w14:paraId="40765B86" w14:textId="3EB5E557" w:rsidR="00A34112" w:rsidRPr="007539ED" w:rsidRDefault="00000000" w:rsidP="00060E76">
      <w:pPr>
        <w:spacing w:after="0" w:line="480" w:lineRule="auto"/>
        <w:ind w:firstLine="720"/>
        <w:rPr>
          <w:rFonts w:ascii="Times New Roman" w:hAnsi="Times New Roman" w:cs="Times New Roman"/>
          <w:sz w:val="24"/>
          <w:szCs w:val="24"/>
        </w:rPr>
      </w:pPr>
      <w:r w:rsidRPr="007539ED">
        <w:rPr>
          <w:rFonts w:ascii="Times New Roman" w:hAnsi="Times New Roman" w:cs="Times New Roman"/>
          <w:sz w:val="24"/>
          <w:szCs w:val="24"/>
        </w:rPr>
        <w:t>This paper synthesizes previous conceptual work on health equity and biosafety</w:t>
      </w:r>
      <w:r w:rsidR="007539ED">
        <w:rPr>
          <w:rFonts w:ascii="Times New Roman" w:hAnsi="Times New Roman" w:cs="Times New Roman"/>
          <w:sz w:val="24"/>
          <w:szCs w:val="24"/>
        </w:rPr>
        <w:t>,</w:t>
      </w:r>
      <w:r w:rsidRPr="007539ED">
        <w:rPr>
          <w:rFonts w:ascii="Times New Roman" w:hAnsi="Times New Roman" w:cs="Times New Roman"/>
          <w:sz w:val="24"/>
          <w:szCs w:val="24"/>
        </w:rPr>
        <w:t xml:space="preserve"> </w:t>
      </w:r>
      <w:r w:rsidR="00B60A7F" w:rsidRPr="007539ED">
        <w:rPr>
          <w:rFonts w:ascii="Times New Roman" w:hAnsi="Times New Roman" w:cs="Times New Roman"/>
          <w:sz w:val="24"/>
          <w:szCs w:val="24"/>
        </w:rPr>
        <w:t>with some additional modifications</w:t>
      </w:r>
      <w:r w:rsidR="007539ED">
        <w:rPr>
          <w:rFonts w:ascii="Times New Roman" w:hAnsi="Times New Roman" w:cs="Times New Roman"/>
          <w:sz w:val="24"/>
          <w:szCs w:val="24"/>
        </w:rPr>
        <w:t>,</w:t>
      </w:r>
      <w:r w:rsidR="00B60A7F" w:rsidRPr="007539ED">
        <w:rPr>
          <w:rFonts w:ascii="Times New Roman" w:hAnsi="Times New Roman" w:cs="Times New Roman"/>
          <w:sz w:val="24"/>
          <w:szCs w:val="24"/>
        </w:rPr>
        <w:t xml:space="preserve"> </w:t>
      </w:r>
      <w:r w:rsidRPr="007539ED">
        <w:rPr>
          <w:rFonts w:ascii="Times New Roman" w:hAnsi="Times New Roman" w:cs="Times New Roman"/>
          <w:sz w:val="24"/>
          <w:szCs w:val="24"/>
        </w:rPr>
        <w:t xml:space="preserve">to propose a new international organization dedicated to </w:t>
      </w:r>
      <w:r w:rsidR="00B60A7F" w:rsidRPr="007539ED">
        <w:rPr>
          <w:rFonts w:ascii="Times New Roman" w:hAnsi="Times New Roman" w:cs="Times New Roman"/>
          <w:sz w:val="24"/>
          <w:szCs w:val="24"/>
        </w:rPr>
        <w:t xml:space="preserve">global </w:t>
      </w:r>
      <w:r w:rsidRPr="007539ED">
        <w:rPr>
          <w:rFonts w:ascii="Times New Roman" w:hAnsi="Times New Roman" w:cs="Times New Roman"/>
          <w:sz w:val="24"/>
          <w:szCs w:val="24"/>
        </w:rPr>
        <w:t>biosafety and biosecurity</w:t>
      </w:r>
      <w:r w:rsidR="00B60A7F" w:rsidRPr="007539ED">
        <w:rPr>
          <w:rFonts w:ascii="Times New Roman" w:hAnsi="Times New Roman" w:cs="Times New Roman"/>
          <w:sz w:val="24"/>
          <w:szCs w:val="24"/>
        </w:rPr>
        <w:t xml:space="preserve">, </w:t>
      </w:r>
      <w:r w:rsidR="007539ED">
        <w:rPr>
          <w:rFonts w:ascii="Times New Roman" w:hAnsi="Times New Roman" w:cs="Times New Roman"/>
          <w:sz w:val="24"/>
          <w:szCs w:val="24"/>
        </w:rPr>
        <w:t xml:space="preserve">education, and </w:t>
      </w:r>
      <w:r w:rsidR="00B60A7F" w:rsidRPr="007539ED">
        <w:rPr>
          <w:rFonts w:ascii="Times New Roman" w:hAnsi="Times New Roman" w:cs="Times New Roman"/>
          <w:sz w:val="24"/>
          <w:szCs w:val="24"/>
        </w:rPr>
        <w:t xml:space="preserve">development </w:t>
      </w:r>
      <w:r w:rsidR="007539ED">
        <w:rPr>
          <w:rFonts w:ascii="Times New Roman" w:hAnsi="Times New Roman" w:cs="Times New Roman"/>
          <w:sz w:val="24"/>
          <w:szCs w:val="24"/>
        </w:rPr>
        <w:t xml:space="preserve">and promotion </w:t>
      </w:r>
      <w:r w:rsidR="00B60A7F" w:rsidRPr="007539ED">
        <w:rPr>
          <w:rFonts w:ascii="Times New Roman" w:hAnsi="Times New Roman" w:cs="Times New Roman"/>
          <w:sz w:val="24"/>
          <w:szCs w:val="24"/>
        </w:rPr>
        <w:t xml:space="preserve">of </w:t>
      </w:r>
      <w:r w:rsidR="007539ED">
        <w:rPr>
          <w:rFonts w:ascii="Times New Roman" w:hAnsi="Times New Roman" w:cs="Times New Roman"/>
          <w:sz w:val="24"/>
          <w:szCs w:val="24"/>
        </w:rPr>
        <w:t xml:space="preserve">global biosafety and biosecurity </w:t>
      </w:r>
      <w:r w:rsidR="00B60A7F" w:rsidRPr="007539ED">
        <w:rPr>
          <w:rFonts w:ascii="Times New Roman" w:hAnsi="Times New Roman" w:cs="Times New Roman"/>
          <w:sz w:val="24"/>
          <w:szCs w:val="24"/>
        </w:rPr>
        <w:t>standards</w:t>
      </w:r>
      <w:r w:rsidR="007539ED">
        <w:rPr>
          <w:rFonts w:ascii="Times New Roman" w:hAnsi="Times New Roman" w:cs="Times New Roman"/>
          <w:sz w:val="24"/>
          <w:szCs w:val="24"/>
        </w:rPr>
        <w:t>, including areas less traditional biological threat areas—such as the integration of artificial intelligence and biology</w:t>
      </w:r>
      <w:r w:rsidRPr="007539ED">
        <w:rPr>
          <w:rFonts w:ascii="Times New Roman" w:hAnsi="Times New Roman" w:cs="Times New Roman"/>
          <w:sz w:val="24"/>
          <w:szCs w:val="24"/>
        </w:rPr>
        <w:t>. The proposed entity</w:t>
      </w:r>
      <w:r w:rsidR="007539ED">
        <w:rPr>
          <w:rFonts w:ascii="Times New Roman" w:hAnsi="Times New Roman" w:cs="Times New Roman"/>
          <w:sz w:val="24"/>
          <w:szCs w:val="24"/>
        </w:rPr>
        <w:t xml:space="preserve"> could</w:t>
      </w:r>
      <w:r w:rsidRPr="007539ED">
        <w:rPr>
          <w:rFonts w:ascii="Times New Roman" w:hAnsi="Times New Roman" w:cs="Times New Roman"/>
          <w:sz w:val="24"/>
          <w:szCs w:val="24"/>
        </w:rPr>
        <w:t xml:space="preserve"> operate under the auspices of the World Health Organization (WHO)</w:t>
      </w:r>
      <w:r w:rsidR="00B60A7F" w:rsidRPr="007539ED">
        <w:rPr>
          <w:rFonts w:ascii="Times New Roman" w:hAnsi="Times New Roman" w:cs="Times New Roman"/>
          <w:sz w:val="24"/>
          <w:szCs w:val="24"/>
        </w:rPr>
        <w:t xml:space="preserve"> and in</w:t>
      </w:r>
      <w:r w:rsidRPr="007539ED">
        <w:rPr>
          <w:rFonts w:ascii="Times New Roman" w:hAnsi="Times New Roman" w:cs="Times New Roman"/>
          <w:sz w:val="24"/>
          <w:szCs w:val="24"/>
        </w:rPr>
        <w:t xml:space="preserve"> alignment with the Biological Weapons Convention (BWC)</w:t>
      </w:r>
      <w:r w:rsidR="00B60A7F" w:rsidRPr="007539ED">
        <w:rPr>
          <w:rFonts w:ascii="Times New Roman" w:hAnsi="Times New Roman" w:cs="Times New Roman"/>
          <w:sz w:val="24"/>
          <w:szCs w:val="24"/>
        </w:rPr>
        <w:t xml:space="preserve"> to improve standards, education, and </w:t>
      </w:r>
      <w:r w:rsidRPr="007539ED">
        <w:rPr>
          <w:rFonts w:ascii="Times New Roman" w:hAnsi="Times New Roman" w:cs="Times New Roman"/>
          <w:sz w:val="24"/>
          <w:szCs w:val="24"/>
        </w:rPr>
        <w:t>technical safety</w:t>
      </w:r>
      <w:r w:rsidR="00B60A7F" w:rsidRPr="007539ED">
        <w:rPr>
          <w:rFonts w:ascii="Times New Roman" w:hAnsi="Times New Roman" w:cs="Times New Roman"/>
          <w:sz w:val="24"/>
          <w:szCs w:val="24"/>
        </w:rPr>
        <w:t xml:space="preserve"> while</w:t>
      </w:r>
      <w:r w:rsidRPr="007539ED">
        <w:rPr>
          <w:rFonts w:ascii="Times New Roman" w:hAnsi="Times New Roman" w:cs="Times New Roman"/>
          <w:sz w:val="24"/>
          <w:szCs w:val="24"/>
        </w:rPr>
        <w:t xml:space="preserve"> </w:t>
      </w:r>
      <w:r w:rsidR="00B60A7F" w:rsidRPr="007539ED">
        <w:rPr>
          <w:rFonts w:ascii="Times New Roman" w:hAnsi="Times New Roman" w:cs="Times New Roman"/>
          <w:sz w:val="24"/>
          <w:szCs w:val="24"/>
        </w:rPr>
        <w:t xml:space="preserve">improving relevant </w:t>
      </w:r>
      <w:r w:rsidRPr="007539ED">
        <w:rPr>
          <w:rFonts w:ascii="Times New Roman" w:hAnsi="Times New Roman" w:cs="Times New Roman"/>
          <w:sz w:val="24"/>
          <w:szCs w:val="24"/>
        </w:rPr>
        <w:t>the social determinants of health (SDOH) that</w:t>
      </w:r>
      <w:r w:rsidR="00B60A7F" w:rsidRPr="007539ED">
        <w:rPr>
          <w:rFonts w:ascii="Times New Roman" w:hAnsi="Times New Roman" w:cs="Times New Roman"/>
          <w:sz w:val="24"/>
          <w:szCs w:val="24"/>
        </w:rPr>
        <w:t xml:space="preserve"> can</w:t>
      </w:r>
      <w:r w:rsidRPr="007539ED">
        <w:rPr>
          <w:rFonts w:ascii="Times New Roman" w:hAnsi="Times New Roman" w:cs="Times New Roman"/>
          <w:sz w:val="24"/>
          <w:szCs w:val="24"/>
        </w:rPr>
        <w:t xml:space="preserve"> influence resilience against biological incidents.</w:t>
      </w:r>
    </w:p>
    <w:p w14:paraId="4436385A" w14:textId="77777777" w:rsidR="00060E76" w:rsidRPr="007539ED" w:rsidRDefault="00060E76" w:rsidP="00060E76">
      <w:pPr>
        <w:spacing w:after="0" w:line="480" w:lineRule="auto"/>
        <w:ind w:firstLine="720"/>
        <w:rPr>
          <w:rFonts w:ascii="Times New Roman" w:hAnsi="Times New Roman" w:cs="Times New Roman"/>
          <w:sz w:val="24"/>
          <w:szCs w:val="24"/>
        </w:rPr>
      </w:pPr>
    </w:p>
    <w:p w14:paraId="17A20623" w14:textId="77777777"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Conceptualized Organization Overview</w:t>
      </w:r>
    </w:p>
    <w:p w14:paraId="3DD23A1E" w14:textId="552BD13A" w:rsidR="00A34112" w:rsidRPr="007539ED" w:rsidRDefault="00000000" w:rsidP="00060E76">
      <w:pPr>
        <w:spacing w:after="0" w:line="480" w:lineRule="auto"/>
        <w:ind w:firstLine="720"/>
        <w:rPr>
          <w:rFonts w:ascii="Times New Roman" w:hAnsi="Times New Roman" w:cs="Times New Roman"/>
          <w:sz w:val="24"/>
          <w:szCs w:val="24"/>
        </w:rPr>
      </w:pPr>
      <w:r w:rsidRPr="007539ED">
        <w:rPr>
          <w:rFonts w:ascii="Times New Roman" w:hAnsi="Times New Roman" w:cs="Times New Roman"/>
          <w:sz w:val="24"/>
          <w:szCs w:val="24"/>
        </w:rPr>
        <w:t xml:space="preserve">The </w:t>
      </w:r>
      <w:r w:rsidR="00B60A7F" w:rsidRPr="007539ED">
        <w:rPr>
          <w:rFonts w:ascii="Times New Roman" w:hAnsi="Times New Roman" w:cs="Times New Roman"/>
          <w:sz w:val="24"/>
          <w:szCs w:val="24"/>
        </w:rPr>
        <w:t xml:space="preserve">International </w:t>
      </w:r>
      <w:r w:rsidRPr="007539ED">
        <w:rPr>
          <w:rFonts w:ascii="Times New Roman" w:hAnsi="Times New Roman" w:cs="Times New Roman"/>
          <w:sz w:val="24"/>
          <w:szCs w:val="24"/>
        </w:rPr>
        <w:t>Biosafety and Biosecurity Initiative (</w:t>
      </w:r>
      <w:r w:rsidR="00B60A7F" w:rsidRPr="007539ED">
        <w:rPr>
          <w:rFonts w:ascii="Times New Roman" w:hAnsi="Times New Roman" w:cs="Times New Roman"/>
          <w:sz w:val="24"/>
          <w:szCs w:val="24"/>
        </w:rPr>
        <w:t>I</w:t>
      </w:r>
      <w:r w:rsidRPr="007539ED">
        <w:rPr>
          <w:rFonts w:ascii="Times New Roman" w:hAnsi="Times New Roman" w:cs="Times New Roman"/>
          <w:sz w:val="24"/>
          <w:szCs w:val="24"/>
        </w:rPr>
        <w:t xml:space="preserve">BBI) would serve as a global platform </w:t>
      </w:r>
      <w:r w:rsidR="00B60A7F" w:rsidRPr="007539ED">
        <w:rPr>
          <w:rFonts w:ascii="Times New Roman" w:hAnsi="Times New Roman" w:cs="Times New Roman"/>
          <w:sz w:val="24"/>
          <w:szCs w:val="24"/>
        </w:rPr>
        <w:t xml:space="preserve">with a primary goal </w:t>
      </w:r>
      <w:r w:rsidRPr="007539ED">
        <w:rPr>
          <w:rFonts w:ascii="Times New Roman" w:hAnsi="Times New Roman" w:cs="Times New Roman"/>
          <w:sz w:val="24"/>
          <w:szCs w:val="24"/>
        </w:rPr>
        <w:t>to strengthen laboratory safety</w:t>
      </w:r>
      <w:r w:rsidR="00B60A7F" w:rsidRPr="007539ED">
        <w:rPr>
          <w:rFonts w:ascii="Times New Roman" w:hAnsi="Times New Roman" w:cs="Times New Roman"/>
          <w:sz w:val="24"/>
          <w:szCs w:val="24"/>
        </w:rPr>
        <w:t xml:space="preserve"> standards and related </w:t>
      </w:r>
      <w:r w:rsidR="00B60A7F" w:rsidRPr="007539ED">
        <w:rPr>
          <w:rFonts w:ascii="Times New Roman" w:hAnsi="Times New Roman" w:cs="Times New Roman"/>
          <w:sz w:val="24"/>
          <w:szCs w:val="24"/>
        </w:rPr>
        <w:lastRenderedPageBreak/>
        <w:t xml:space="preserve">education and if requested can provide experts to underprivileged or high-risk areas, assist in </w:t>
      </w:r>
      <w:r w:rsidRPr="007539ED">
        <w:rPr>
          <w:rFonts w:ascii="Times New Roman" w:hAnsi="Times New Roman" w:cs="Times New Roman"/>
          <w:sz w:val="24"/>
          <w:szCs w:val="24"/>
        </w:rPr>
        <w:t>secur</w:t>
      </w:r>
      <w:r w:rsidR="00B60A7F" w:rsidRPr="007539ED">
        <w:rPr>
          <w:rFonts w:ascii="Times New Roman" w:hAnsi="Times New Roman" w:cs="Times New Roman"/>
          <w:sz w:val="24"/>
          <w:szCs w:val="24"/>
        </w:rPr>
        <w:t>ing</w:t>
      </w:r>
      <w:r w:rsidRPr="007539ED">
        <w:rPr>
          <w:rFonts w:ascii="Times New Roman" w:hAnsi="Times New Roman" w:cs="Times New Roman"/>
          <w:sz w:val="24"/>
          <w:szCs w:val="24"/>
        </w:rPr>
        <w:t xml:space="preserve"> pathogens</w:t>
      </w:r>
      <w:r w:rsidR="00B60A7F" w:rsidRPr="007539ED">
        <w:rPr>
          <w:rFonts w:ascii="Times New Roman" w:hAnsi="Times New Roman" w:cs="Times New Roman"/>
          <w:sz w:val="24"/>
          <w:szCs w:val="24"/>
        </w:rPr>
        <w:t xml:space="preserve">, and continue to </w:t>
      </w:r>
      <w:r w:rsidRPr="007539ED">
        <w:rPr>
          <w:rFonts w:ascii="Times New Roman" w:hAnsi="Times New Roman" w:cs="Times New Roman"/>
          <w:sz w:val="24"/>
          <w:szCs w:val="24"/>
        </w:rPr>
        <w:t>build equitable health systems</w:t>
      </w:r>
      <w:r w:rsidR="00B60A7F" w:rsidRPr="007539ED">
        <w:rPr>
          <w:rFonts w:ascii="Times New Roman" w:hAnsi="Times New Roman" w:cs="Times New Roman"/>
          <w:sz w:val="24"/>
          <w:szCs w:val="24"/>
        </w:rPr>
        <w:t xml:space="preserve"> to ensure all countries are able to effectively manage biosafety and biosecurity</w:t>
      </w:r>
      <w:r w:rsidRPr="007539ED">
        <w:rPr>
          <w:rFonts w:ascii="Times New Roman" w:hAnsi="Times New Roman" w:cs="Times New Roman"/>
          <w:sz w:val="24"/>
          <w:szCs w:val="24"/>
        </w:rPr>
        <w:t xml:space="preserve">. </w:t>
      </w:r>
      <w:r w:rsidR="00B60A7F" w:rsidRPr="007539ED">
        <w:rPr>
          <w:rFonts w:ascii="Times New Roman" w:hAnsi="Times New Roman" w:cs="Times New Roman"/>
          <w:sz w:val="24"/>
          <w:szCs w:val="24"/>
        </w:rPr>
        <w:t xml:space="preserve"> </w:t>
      </w:r>
      <w:r w:rsidRPr="007539ED">
        <w:rPr>
          <w:rFonts w:ascii="Times New Roman" w:hAnsi="Times New Roman" w:cs="Times New Roman"/>
          <w:sz w:val="24"/>
          <w:szCs w:val="24"/>
        </w:rPr>
        <w:t>Leveraging WHO’s technical authority and the BWC’s framework, IBBI would coordinate capacity-building in low-resource settings, enhance transparency in laboratory practices, and promote equitable access to biosafety technologies.</w:t>
      </w:r>
    </w:p>
    <w:p w14:paraId="37BA2DF7" w14:textId="77777777" w:rsidR="00060E76" w:rsidRPr="007539ED" w:rsidRDefault="00060E76" w:rsidP="00060E76">
      <w:pPr>
        <w:spacing w:after="0" w:line="480" w:lineRule="auto"/>
        <w:ind w:firstLine="720"/>
        <w:rPr>
          <w:rFonts w:ascii="Times New Roman" w:hAnsi="Times New Roman" w:cs="Times New Roman"/>
          <w:sz w:val="24"/>
          <w:szCs w:val="24"/>
        </w:rPr>
      </w:pPr>
    </w:p>
    <w:p w14:paraId="450C5CBA" w14:textId="77777777"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Mission and Goals</w:t>
      </w:r>
    </w:p>
    <w:p w14:paraId="2F19131C" w14:textId="43D044B0" w:rsidR="007539ED" w:rsidRPr="007539ED" w:rsidRDefault="00000000" w:rsidP="007539ED">
      <w:pPr>
        <w:spacing w:after="0" w:line="480" w:lineRule="auto"/>
        <w:ind w:firstLine="720"/>
        <w:rPr>
          <w:rFonts w:ascii="Times New Roman" w:hAnsi="Times New Roman" w:cs="Times New Roman"/>
          <w:sz w:val="24"/>
          <w:szCs w:val="24"/>
        </w:rPr>
      </w:pPr>
      <w:r w:rsidRPr="007539ED">
        <w:rPr>
          <w:rFonts w:ascii="Times New Roman" w:hAnsi="Times New Roman" w:cs="Times New Roman"/>
          <w:sz w:val="24"/>
          <w:szCs w:val="24"/>
        </w:rPr>
        <w:t>To advance global health security by ensuring that biosafety and biosecurity standards are implemented equitably, reducing disparities in preparedness and response to biological threats.</w:t>
      </w:r>
      <w:r w:rsidRPr="007539ED">
        <w:rPr>
          <w:rFonts w:ascii="Times New Roman" w:hAnsi="Times New Roman" w:cs="Times New Roman"/>
          <w:sz w:val="24"/>
          <w:szCs w:val="24"/>
        </w:rPr>
        <w:br/>
        <w:t>1. Strengthen biosafety and biosecurity infrastructure in under-resourced nations.</w:t>
      </w:r>
      <w:r w:rsidRPr="007539ED">
        <w:rPr>
          <w:rFonts w:ascii="Times New Roman" w:hAnsi="Times New Roman" w:cs="Times New Roman"/>
          <w:sz w:val="24"/>
          <w:szCs w:val="24"/>
        </w:rPr>
        <w:br/>
        <w:t>2. Foster community engagement to integrate local knowledge and cultural practices into safety protocols.</w:t>
      </w:r>
      <w:r w:rsidRPr="007539ED">
        <w:rPr>
          <w:rFonts w:ascii="Times New Roman" w:hAnsi="Times New Roman" w:cs="Times New Roman"/>
          <w:sz w:val="24"/>
          <w:szCs w:val="24"/>
        </w:rPr>
        <w:br/>
        <w:t>3. Promote transparency and trust in biological research.</w:t>
      </w:r>
      <w:r w:rsidRPr="007539ED">
        <w:rPr>
          <w:rFonts w:ascii="Times New Roman" w:hAnsi="Times New Roman" w:cs="Times New Roman"/>
          <w:sz w:val="24"/>
          <w:szCs w:val="24"/>
        </w:rPr>
        <w:br/>
        <w:t>4. Enhance rapid response capabilities for biological incidents.</w:t>
      </w:r>
      <w:r w:rsidRPr="007539ED">
        <w:rPr>
          <w:rFonts w:ascii="Times New Roman" w:hAnsi="Times New Roman" w:cs="Times New Roman"/>
          <w:sz w:val="24"/>
          <w:szCs w:val="24"/>
        </w:rPr>
        <w:br/>
        <w:t xml:space="preserve">5. Address social determinants of </w:t>
      </w:r>
      <w:r w:rsidR="00060E76" w:rsidRPr="007539ED">
        <w:rPr>
          <w:rFonts w:ascii="Times New Roman" w:hAnsi="Times New Roman" w:cs="Times New Roman"/>
          <w:sz w:val="24"/>
          <w:szCs w:val="24"/>
        </w:rPr>
        <w:t>health</w:t>
      </w:r>
      <w:r w:rsidRPr="007539ED">
        <w:rPr>
          <w:rFonts w:ascii="Times New Roman" w:hAnsi="Times New Roman" w:cs="Times New Roman"/>
          <w:sz w:val="24"/>
          <w:szCs w:val="24"/>
        </w:rPr>
        <w:t xml:space="preserve"> exacerbate vulnerability to biological threats.</w:t>
      </w:r>
      <w:r w:rsidR="007539ED">
        <w:rPr>
          <w:rFonts w:ascii="Times New Roman" w:hAnsi="Times New Roman" w:cs="Times New Roman"/>
          <w:sz w:val="24"/>
          <w:szCs w:val="24"/>
        </w:rPr>
        <w:br/>
        <w:t xml:space="preserve">6. Proactively </w:t>
      </w:r>
      <w:proofErr w:type="gramStart"/>
      <w:r w:rsidR="007539ED">
        <w:rPr>
          <w:rFonts w:ascii="Times New Roman" w:hAnsi="Times New Roman" w:cs="Times New Roman"/>
          <w:sz w:val="24"/>
          <w:szCs w:val="24"/>
        </w:rPr>
        <w:t>look into</w:t>
      </w:r>
      <w:proofErr w:type="gramEnd"/>
      <w:r w:rsidR="007539ED">
        <w:rPr>
          <w:rFonts w:ascii="Times New Roman" w:hAnsi="Times New Roman" w:cs="Times New Roman"/>
          <w:sz w:val="24"/>
          <w:szCs w:val="24"/>
        </w:rPr>
        <w:t xml:space="preserve"> and propose standards to impactful technologies with potential impacts to biosafety and biosecurity.</w:t>
      </w:r>
    </w:p>
    <w:p w14:paraId="6B988215" w14:textId="77777777" w:rsidR="00060E76" w:rsidRPr="007539ED" w:rsidRDefault="00060E76" w:rsidP="00060E76">
      <w:pPr>
        <w:spacing w:after="0" w:line="480" w:lineRule="auto"/>
        <w:ind w:firstLine="720"/>
        <w:rPr>
          <w:rFonts w:ascii="Times New Roman" w:hAnsi="Times New Roman" w:cs="Times New Roman"/>
          <w:sz w:val="24"/>
          <w:szCs w:val="24"/>
        </w:rPr>
      </w:pPr>
    </w:p>
    <w:p w14:paraId="7DF58AB6" w14:textId="77777777"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Target Population and Community Context</w:t>
      </w:r>
    </w:p>
    <w:p w14:paraId="4FD76360" w14:textId="56D3B283" w:rsidR="00A34112" w:rsidRPr="007539ED" w:rsidRDefault="00000000" w:rsidP="00060E76">
      <w:pPr>
        <w:spacing w:after="0" w:line="480" w:lineRule="auto"/>
        <w:rPr>
          <w:rFonts w:ascii="Times New Roman" w:hAnsi="Times New Roman" w:cs="Times New Roman"/>
          <w:sz w:val="24"/>
          <w:szCs w:val="24"/>
        </w:rPr>
      </w:pPr>
      <w:r w:rsidRPr="007539ED">
        <w:rPr>
          <w:rFonts w:ascii="Times New Roman" w:hAnsi="Times New Roman" w:cs="Times New Roman"/>
          <w:sz w:val="24"/>
          <w:szCs w:val="24"/>
        </w:rPr>
        <w:t xml:space="preserve">IBBI would </w:t>
      </w:r>
      <w:r w:rsidR="007539ED">
        <w:rPr>
          <w:rFonts w:ascii="Times New Roman" w:hAnsi="Times New Roman" w:cs="Times New Roman"/>
          <w:sz w:val="24"/>
          <w:szCs w:val="24"/>
        </w:rPr>
        <w:t xml:space="preserve">initially </w:t>
      </w:r>
      <w:r w:rsidRPr="007539ED">
        <w:rPr>
          <w:rFonts w:ascii="Times New Roman" w:hAnsi="Times New Roman" w:cs="Times New Roman"/>
          <w:sz w:val="24"/>
          <w:szCs w:val="24"/>
        </w:rPr>
        <w:t xml:space="preserve">focus on countries and communities with limited laboratory safety infrastructure and high vulnerability to disease outbreaks, including politically isolated </w:t>
      </w:r>
      <w:r w:rsidRPr="007539ED">
        <w:rPr>
          <w:rFonts w:ascii="Times New Roman" w:hAnsi="Times New Roman" w:cs="Times New Roman"/>
          <w:sz w:val="24"/>
          <w:szCs w:val="24"/>
        </w:rPr>
        <w:lastRenderedPageBreak/>
        <w:t xml:space="preserve">states such as North Korea, rural populations in sub-Saharan Africa, and urban informal settlements in Southeast Asia. These communities often face compounding challenges: inadequate health systems, political instability, </w:t>
      </w:r>
      <w:r w:rsidR="007539ED">
        <w:rPr>
          <w:rFonts w:ascii="Times New Roman" w:hAnsi="Times New Roman" w:cs="Times New Roman"/>
          <w:sz w:val="24"/>
          <w:szCs w:val="24"/>
        </w:rPr>
        <w:t xml:space="preserve">war, </w:t>
      </w:r>
      <w:r w:rsidRPr="007539ED">
        <w:rPr>
          <w:rFonts w:ascii="Times New Roman" w:hAnsi="Times New Roman" w:cs="Times New Roman"/>
          <w:sz w:val="24"/>
          <w:szCs w:val="24"/>
        </w:rPr>
        <w:t>and restricted access to international scientific collaboration.</w:t>
      </w:r>
    </w:p>
    <w:p w14:paraId="1E237B72" w14:textId="77777777" w:rsidR="00060E76" w:rsidRPr="007539ED" w:rsidRDefault="00060E76" w:rsidP="00060E76">
      <w:pPr>
        <w:spacing w:after="0" w:line="480" w:lineRule="auto"/>
        <w:rPr>
          <w:rFonts w:ascii="Times New Roman" w:hAnsi="Times New Roman" w:cs="Times New Roman"/>
          <w:sz w:val="24"/>
          <w:szCs w:val="24"/>
        </w:rPr>
      </w:pPr>
    </w:p>
    <w:p w14:paraId="150C2C13" w14:textId="77777777"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Organizational Structure and Governance</w:t>
      </w:r>
    </w:p>
    <w:p w14:paraId="0F039259" w14:textId="4D440B08" w:rsidR="00A34112" w:rsidRPr="007539ED" w:rsidRDefault="00000000" w:rsidP="00060E76">
      <w:pPr>
        <w:spacing w:after="0" w:line="480" w:lineRule="auto"/>
        <w:rPr>
          <w:rFonts w:ascii="Times New Roman" w:hAnsi="Times New Roman" w:cs="Times New Roman"/>
          <w:sz w:val="24"/>
          <w:szCs w:val="24"/>
        </w:rPr>
      </w:pPr>
      <w:r w:rsidRPr="007539ED">
        <w:rPr>
          <w:rFonts w:ascii="Times New Roman" w:hAnsi="Times New Roman" w:cs="Times New Roman"/>
          <w:sz w:val="24"/>
          <w:szCs w:val="24"/>
        </w:rPr>
        <w:t>IBBI would be governed by a multi-stakeholder board including representatives from WHO, BWC state parties, civil society organizations, and affected communities. A rotating advisory panel of scientific, public health, and policy experts would provide technical guidance. Regional hubs would facilitate localized program implementation.</w:t>
      </w:r>
    </w:p>
    <w:p w14:paraId="02720AF6" w14:textId="77777777" w:rsidR="00060E76" w:rsidRPr="007539ED" w:rsidRDefault="00060E76" w:rsidP="00060E76">
      <w:pPr>
        <w:spacing w:after="0" w:line="480" w:lineRule="auto"/>
        <w:rPr>
          <w:rFonts w:ascii="Times New Roman" w:hAnsi="Times New Roman" w:cs="Times New Roman"/>
          <w:sz w:val="24"/>
          <w:szCs w:val="24"/>
        </w:rPr>
      </w:pPr>
    </w:p>
    <w:p w14:paraId="171211B6" w14:textId="77777777"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Community Engagement Strategies</w:t>
      </w:r>
    </w:p>
    <w:p w14:paraId="2B3E417E" w14:textId="5B940511" w:rsidR="00A34112" w:rsidRPr="007539ED" w:rsidRDefault="00000000" w:rsidP="00060E76">
      <w:pPr>
        <w:spacing w:after="0" w:line="480" w:lineRule="auto"/>
        <w:rPr>
          <w:rFonts w:ascii="Times New Roman" w:hAnsi="Times New Roman" w:cs="Times New Roman"/>
          <w:sz w:val="24"/>
          <w:szCs w:val="24"/>
        </w:rPr>
      </w:pPr>
      <w:r w:rsidRPr="007539ED">
        <w:rPr>
          <w:rFonts w:ascii="Times New Roman" w:hAnsi="Times New Roman" w:cs="Times New Roman"/>
          <w:sz w:val="24"/>
          <w:szCs w:val="24"/>
        </w:rPr>
        <w:t xml:space="preserve">IBBI’s community engagement would be grounded in the </w:t>
      </w:r>
      <w:r w:rsidR="00A4084B">
        <w:rPr>
          <w:rFonts w:ascii="Times New Roman" w:hAnsi="Times New Roman" w:cs="Times New Roman"/>
          <w:sz w:val="24"/>
          <w:szCs w:val="24"/>
        </w:rPr>
        <w:t>p</w:t>
      </w:r>
      <w:r w:rsidRPr="007539ED">
        <w:rPr>
          <w:rFonts w:ascii="Times New Roman" w:hAnsi="Times New Roman" w:cs="Times New Roman"/>
          <w:sz w:val="24"/>
          <w:szCs w:val="24"/>
        </w:rPr>
        <w:t xml:space="preserve">rinciples of </w:t>
      </w:r>
      <w:r w:rsidR="00A4084B">
        <w:rPr>
          <w:rFonts w:ascii="Times New Roman" w:hAnsi="Times New Roman" w:cs="Times New Roman"/>
          <w:sz w:val="24"/>
          <w:szCs w:val="24"/>
        </w:rPr>
        <w:t>c</w:t>
      </w:r>
      <w:r w:rsidRPr="007539ED">
        <w:rPr>
          <w:rFonts w:ascii="Times New Roman" w:hAnsi="Times New Roman" w:cs="Times New Roman"/>
          <w:sz w:val="24"/>
          <w:szCs w:val="24"/>
        </w:rPr>
        <w:t xml:space="preserve">ommunity </w:t>
      </w:r>
      <w:r w:rsidR="00A4084B">
        <w:rPr>
          <w:rFonts w:ascii="Times New Roman" w:hAnsi="Times New Roman" w:cs="Times New Roman"/>
          <w:sz w:val="24"/>
          <w:szCs w:val="24"/>
        </w:rPr>
        <w:t>e</w:t>
      </w:r>
      <w:r w:rsidRPr="007539ED">
        <w:rPr>
          <w:rFonts w:ascii="Times New Roman" w:hAnsi="Times New Roman" w:cs="Times New Roman"/>
          <w:sz w:val="24"/>
          <w:szCs w:val="24"/>
        </w:rPr>
        <w:t xml:space="preserve">ngagement, </w:t>
      </w:r>
      <w:r w:rsidR="00A4084B">
        <w:rPr>
          <w:rFonts w:ascii="Times New Roman" w:hAnsi="Times New Roman" w:cs="Times New Roman"/>
          <w:sz w:val="24"/>
          <w:szCs w:val="24"/>
        </w:rPr>
        <w:t>t</w:t>
      </w:r>
      <w:r w:rsidRPr="007539ED">
        <w:rPr>
          <w:rFonts w:ascii="Times New Roman" w:hAnsi="Times New Roman" w:cs="Times New Roman"/>
          <w:sz w:val="24"/>
          <w:szCs w:val="24"/>
        </w:rPr>
        <w:t>ransparency, mutual benefit, and co-creation. Local advisory committees would help shape interventions to ensure cultural relevance and trust-building.</w:t>
      </w:r>
    </w:p>
    <w:p w14:paraId="67FF16B9" w14:textId="77777777" w:rsidR="00060E76" w:rsidRPr="007539ED" w:rsidRDefault="00060E76" w:rsidP="00060E76">
      <w:pPr>
        <w:pStyle w:val="Heading2"/>
        <w:spacing w:before="0" w:line="480" w:lineRule="auto"/>
        <w:rPr>
          <w:rFonts w:ascii="Times New Roman" w:hAnsi="Times New Roman" w:cs="Times New Roman"/>
          <w:color w:val="auto"/>
          <w:sz w:val="24"/>
          <w:szCs w:val="24"/>
        </w:rPr>
      </w:pPr>
    </w:p>
    <w:p w14:paraId="0E635877" w14:textId="6C1B2248"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Key Partnerships and Collaborators</w:t>
      </w:r>
    </w:p>
    <w:p w14:paraId="144590F8" w14:textId="18350F4F" w:rsidR="00A34112" w:rsidRPr="007539ED" w:rsidRDefault="00000000" w:rsidP="00060E76">
      <w:pPr>
        <w:spacing w:after="0" w:line="480" w:lineRule="auto"/>
        <w:rPr>
          <w:rFonts w:ascii="Times New Roman" w:hAnsi="Times New Roman" w:cs="Times New Roman"/>
          <w:sz w:val="24"/>
          <w:szCs w:val="24"/>
        </w:rPr>
      </w:pPr>
      <w:r w:rsidRPr="007539ED">
        <w:rPr>
          <w:rFonts w:ascii="Times New Roman" w:hAnsi="Times New Roman" w:cs="Times New Roman"/>
          <w:sz w:val="24"/>
          <w:szCs w:val="24"/>
        </w:rPr>
        <w:t>Key collaborators would include WHO, the United Nations Office for Disarmament Affairs, national public health institutes, Médecins Sans Frontières, and regional biosafety associations. Partnerships with universities and private-sector biotechnology firms would facilitate training, technology transfer, innovation</w:t>
      </w:r>
      <w:r w:rsidR="00A4084B">
        <w:rPr>
          <w:rFonts w:ascii="Times New Roman" w:hAnsi="Times New Roman" w:cs="Times New Roman"/>
          <w:sz w:val="24"/>
          <w:szCs w:val="24"/>
        </w:rPr>
        <w:t>, and shaping of standards for emerging and related biotechnology</w:t>
      </w:r>
      <w:r w:rsidRPr="007539ED">
        <w:rPr>
          <w:rFonts w:ascii="Times New Roman" w:hAnsi="Times New Roman" w:cs="Times New Roman"/>
          <w:sz w:val="24"/>
          <w:szCs w:val="24"/>
        </w:rPr>
        <w:t>.</w:t>
      </w:r>
    </w:p>
    <w:p w14:paraId="4BD7355D" w14:textId="40179DA2"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lastRenderedPageBreak/>
        <w:t>Programs and Interventions</w:t>
      </w:r>
    </w:p>
    <w:p w14:paraId="78E76858" w14:textId="31DF53F2" w:rsidR="00A4084B" w:rsidRDefault="00000000" w:rsidP="00A4084B">
      <w:pPr>
        <w:spacing w:after="0" w:line="480" w:lineRule="auto"/>
        <w:rPr>
          <w:rFonts w:ascii="Times New Roman" w:hAnsi="Times New Roman" w:cs="Times New Roman"/>
          <w:sz w:val="24"/>
          <w:szCs w:val="24"/>
        </w:rPr>
      </w:pPr>
      <w:r w:rsidRPr="007539ED">
        <w:rPr>
          <w:rFonts w:ascii="Times New Roman" w:hAnsi="Times New Roman" w:cs="Times New Roman"/>
          <w:sz w:val="24"/>
          <w:szCs w:val="24"/>
        </w:rPr>
        <w:t xml:space="preserve">Programs </w:t>
      </w:r>
      <w:r w:rsidR="00060E76" w:rsidRPr="007539ED">
        <w:rPr>
          <w:rFonts w:ascii="Times New Roman" w:hAnsi="Times New Roman" w:cs="Times New Roman"/>
          <w:sz w:val="24"/>
          <w:szCs w:val="24"/>
        </w:rPr>
        <w:t>c</w:t>
      </w:r>
      <w:r w:rsidRPr="007539ED">
        <w:rPr>
          <w:rFonts w:ascii="Times New Roman" w:hAnsi="Times New Roman" w:cs="Times New Roman"/>
          <w:sz w:val="24"/>
          <w:szCs w:val="24"/>
        </w:rPr>
        <w:t>ould include:</w:t>
      </w:r>
      <w:r w:rsidRPr="007539ED">
        <w:rPr>
          <w:rFonts w:ascii="Times New Roman" w:hAnsi="Times New Roman" w:cs="Times New Roman"/>
          <w:sz w:val="24"/>
          <w:szCs w:val="24"/>
        </w:rPr>
        <w:br/>
        <w:t>- Biosafety training and certification for laboratory personnel.</w:t>
      </w:r>
      <w:r w:rsidRPr="007539ED">
        <w:rPr>
          <w:rFonts w:ascii="Times New Roman" w:hAnsi="Times New Roman" w:cs="Times New Roman"/>
          <w:sz w:val="24"/>
          <w:szCs w:val="24"/>
        </w:rPr>
        <w:br/>
        <w:t>- Infrastructure upgrades for BSL-3 and BSL-4 laboratories.</w:t>
      </w:r>
      <w:r w:rsidRPr="007539ED">
        <w:rPr>
          <w:rFonts w:ascii="Times New Roman" w:hAnsi="Times New Roman" w:cs="Times New Roman"/>
          <w:sz w:val="24"/>
          <w:szCs w:val="24"/>
        </w:rPr>
        <w:br/>
        <w:t>- Community-based disease surveillance systems.</w:t>
      </w:r>
      <w:r w:rsidRPr="007539ED">
        <w:rPr>
          <w:rFonts w:ascii="Times New Roman" w:hAnsi="Times New Roman" w:cs="Times New Roman"/>
          <w:sz w:val="24"/>
          <w:szCs w:val="24"/>
        </w:rPr>
        <w:br/>
        <w:t xml:space="preserve">- Public health education campaigns on pathogen </w:t>
      </w:r>
      <w:r w:rsidR="00060E76" w:rsidRPr="007539ED">
        <w:rPr>
          <w:rFonts w:ascii="Times New Roman" w:hAnsi="Times New Roman" w:cs="Times New Roman"/>
          <w:sz w:val="24"/>
          <w:szCs w:val="24"/>
        </w:rPr>
        <w:t>identification, safety, and community response measures</w:t>
      </w:r>
      <w:r w:rsidRPr="007539ED">
        <w:rPr>
          <w:rFonts w:ascii="Times New Roman" w:hAnsi="Times New Roman" w:cs="Times New Roman"/>
          <w:sz w:val="24"/>
          <w:szCs w:val="24"/>
        </w:rPr>
        <w:t>.</w:t>
      </w:r>
      <w:r w:rsidRPr="007539ED">
        <w:rPr>
          <w:rFonts w:ascii="Times New Roman" w:hAnsi="Times New Roman" w:cs="Times New Roman"/>
          <w:sz w:val="24"/>
          <w:szCs w:val="24"/>
        </w:rPr>
        <w:br/>
        <w:t xml:space="preserve">- Research grant programs for scientists </w:t>
      </w:r>
      <w:r w:rsidR="00060E76" w:rsidRPr="007539ED">
        <w:rPr>
          <w:rFonts w:ascii="Times New Roman" w:hAnsi="Times New Roman" w:cs="Times New Roman"/>
          <w:sz w:val="24"/>
          <w:szCs w:val="24"/>
        </w:rPr>
        <w:t xml:space="preserve">to manage long-term pathogen and lab continuity </w:t>
      </w:r>
      <w:r w:rsidRPr="007539ED">
        <w:rPr>
          <w:rFonts w:ascii="Times New Roman" w:hAnsi="Times New Roman" w:cs="Times New Roman"/>
          <w:sz w:val="24"/>
          <w:szCs w:val="24"/>
        </w:rPr>
        <w:t>in low-resource settings</w:t>
      </w:r>
      <w:r w:rsidR="00060E76" w:rsidRPr="007539ED">
        <w:rPr>
          <w:rFonts w:ascii="Times New Roman" w:hAnsi="Times New Roman" w:cs="Times New Roman"/>
          <w:sz w:val="24"/>
          <w:szCs w:val="24"/>
        </w:rPr>
        <w:t xml:space="preserve"> to offset potential resource tail funding</w:t>
      </w:r>
      <w:r w:rsidRPr="007539ED">
        <w:rPr>
          <w:rFonts w:ascii="Times New Roman" w:hAnsi="Times New Roman" w:cs="Times New Roman"/>
          <w:sz w:val="24"/>
          <w:szCs w:val="24"/>
        </w:rPr>
        <w:t>.</w:t>
      </w:r>
    </w:p>
    <w:p w14:paraId="3A9B410C" w14:textId="7F38C27E" w:rsidR="00A4084B" w:rsidRPr="00A4084B" w:rsidRDefault="00A4084B" w:rsidP="00A4084B">
      <w:pPr>
        <w:pStyle w:val="ListParagraph"/>
        <w:numPr>
          <w:ilvl w:val="0"/>
          <w:numId w:val="11"/>
        </w:numPr>
        <w:spacing w:after="0" w:line="480" w:lineRule="auto"/>
        <w:ind w:left="180" w:hanging="180"/>
        <w:rPr>
          <w:rFonts w:ascii="Times New Roman" w:hAnsi="Times New Roman" w:cs="Times New Roman"/>
          <w:sz w:val="24"/>
          <w:szCs w:val="24"/>
        </w:rPr>
      </w:pPr>
      <w:r>
        <w:rPr>
          <w:rFonts w:ascii="Times New Roman" w:hAnsi="Times New Roman" w:cs="Times New Roman"/>
          <w:sz w:val="24"/>
          <w:szCs w:val="24"/>
        </w:rPr>
        <w:t xml:space="preserve">Assist in the development of regional resource hubs that can assist in providing </w:t>
      </w:r>
      <w:proofErr w:type="gramStart"/>
      <w:r>
        <w:rPr>
          <w:rFonts w:ascii="Times New Roman" w:hAnsi="Times New Roman" w:cs="Times New Roman"/>
          <w:sz w:val="24"/>
          <w:szCs w:val="24"/>
        </w:rPr>
        <w:t>response individual</w:t>
      </w:r>
      <w:proofErr w:type="gramEnd"/>
      <w:r>
        <w:rPr>
          <w:rFonts w:ascii="Times New Roman" w:hAnsi="Times New Roman" w:cs="Times New Roman"/>
          <w:sz w:val="24"/>
          <w:szCs w:val="24"/>
        </w:rPr>
        <w:t xml:space="preserve"> protective equipment and other necessary equipment if needed.  </w:t>
      </w:r>
    </w:p>
    <w:p w14:paraId="35ECCB04" w14:textId="77777777" w:rsidR="00060E76" w:rsidRPr="007539ED" w:rsidRDefault="00060E76" w:rsidP="00060E76">
      <w:pPr>
        <w:spacing w:after="0" w:line="480" w:lineRule="auto"/>
        <w:rPr>
          <w:rFonts w:ascii="Times New Roman" w:hAnsi="Times New Roman" w:cs="Times New Roman"/>
          <w:sz w:val="24"/>
          <w:szCs w:val="24"/>
        </w:rPr>
      </w:pPr>
    </w:p>
    <w:p w14:paraId="64F52322" w14:textId="77777777"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Funding and Sustainability</w:t>
      </w:r>
    </w:p>
    <w:p w14:paraId="2B51C48A" w14:textId="19EE8A46" w:rsidR="00A34112" w:rsidRPr="007539ED" w:rsidRDefault="00000000" w:rsidP="00060E76">
      <w:pPr>
        <w:spacing w:after="0" w:line="480" w:lineRule="auto"/>
        <w:rPr>
          <w:rFonts w:ascii="Times New Roman" w:hAnsi="Times New Roman" w:cs="Times New Roman"/>
          <w:sz w:val="24"/>
          <w:szCs w:val="24"/>
        </w:rPr>
      </w:pPr>
      <w:r w:rsidRPr="007539ED">
        <w:rPr>
          <w:rFonts w:ascii="Times New Roman" w:hAnsi="Times New Roman" w:cs="Times New Roman"/>
          <w:sz w:val="24"/>
          <w:szCs w:val="24"/>
        </w:rPr>
        <w:t xml:space="preserve">Funding </w:t>
      </w:r>
      <w:r w:rsidR="00060E76" w:rsidRPr="007539ED">
        <w:rPr>
          <w:rFonts w:ascii="Times New Roman" w:hAnsi="Times New Roman" w:cs="Times New Roman"/>
          <w:sz w:val="24"/>
          <w:szCs w:val="24"/>
        </w:rPr>
        <w:t xml:space="preserve">could </w:t>
      </w:r>
      <w:r w:rsidRPr="007539ED">
        <w:rPr>
          <w:rFonts w:ascii="Times New Roman" w:hAnsi="Times New Roman" w:cs="Times New Roman"/>
          <w:sz w:val="24"/>
          <w:szCs w:val="24"/>
        </w:rPr>
        <w:t xml:space="preserve">come from a combination of WHO budget allocations, voluntary state contributions, philanthropic foundations, and </w:t>
      </w:r>
      <w:r w:rsidR="00060E76" w:rsidRPr="007539ED">
        <w:rPr>
          <w:rFonts w:ascii="Times New Roman" w:hAnsi="Times New Roman" w:cs="Times New Roman"/>
          <w:sz w:val="24"/>
          <w:szCs w:val="24"/>
        </w:rPr>
        <w:t>public-</w:t>
      </w:r>
      <w:r w:rsidRPr="007539ED">
        <w:rPr>
          <w:rFonts w:ascii="Times New Roman" w:hAnsi="Times New Roman" w:cs="Times New Roman"/>
          <w:sz w:val="24"/>
          <w:szCs w:val="24"/>
        </w:rPr>
        <w:t>private sector partnerships. Long-term sustainability would be supported through cost-sharing with national governments and revenue-generating training programs.</w:t>
      </w:r>
    </w:p>
    <w:p w14:paraId="21A92C62" w14:textId="77777777" w:rsidR="00060E76" w:rsidRPr="007539ED" w:rsidRDefault="00060E76" w:rsidP="00060E76">
      <w:pPr>
        <w:spacing w:after="0" w:line="480" w:lineRule="auto"/>
        <w:rPr>
          <w:rFonts w:ascii="Times New Roman" w:hAnsi="Times New Roman" w:cs="Times New Roman"/>
          <w:sz w:val="24"/>
          <w:szCs w:val="24"/>
        </w:rPr>
      </w:pPr>
    </w:p>
    <w:p w14:paraId="7AEDBF44" w14:textId="77777777"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Evaluation Methods</w:t>
      </w:r>
    </w:p>
    <w:p w14:paraId="0DCF8B71" w14:textId="77777777" w:rsidR="00A34112" w:rsidRPr="007539ED" w:rsidRDefault="00000000" w:rsidP="00060E76">
      <w:pPr>
        <w:spacing w:after="0" w:line="480" w:lineRule="auto"/>
        <w:rPr>
          <w:rFonts w:ascii="Times New Roman" w:hAnsi="Times New Roman" w:cs="Times New Roman"/>
          <w:sz w:val="24"/>
          <w:szCs w:val="24"/>
        </w:rPr>
      </w:pPr>
      <w:r w:rsidRPr="007539ED">
        <w:rPr>
          <w:rFonts w:ascii="Times New Roman" w:hAnsi="Times New Roman" w:cs="Times New Roman"/>
          <w:sz w:val="24"/>
          <w:szCs w:val="24"/>
        </w:rPr>
        <w:t>Impact would be measured through:</w:t>
      </w:r>
      <w:r w:rsidRPr="007539ED">
        <w:rPr>
          <w:rFonts w:ascii="Times New Roman" w:hAnsi="Times New Roman" w:cs="Times New Roman"/>
          <w:sz w:val="24"/>
          <w:szCs w:val="24"/>
        </w:rPr>
        <w:br/>
        <w:t>- Reduction in laboratory accidents.</w:t>
      </w:r>
      <w:r w:rsidRPr="007539ED">
        <w:rPr>
          <w:rFonts w:ascii="Times New Roman" w:hAnsi="Times New Roman" w:cs="Times New Roman"/>
          <w:sz w:val="24"/>
          <w:szCs w:val="24"/>
        </w:rPr>
        <w:br/>
        <w:t>- Increased number of certified biosafety professionals.</w:t>
      </w:r>
      <w:r w:rsidRPr="007539ED">
        <w:rPr>
          <w:rFonts w:ascii="Times New Roman" w:hAnsi="Times New Roman" w:cs="Times New Roman"/>
          <w:sz w:val="24"/>
          <w:szCs w:val="24"/>
        </w:rPr>
        <w:br/>
      </w:r>
      <w:r w:rsidRPr="007539ED">
        <w:rPr>
          <w:rFonts w:ascii="Times New Roman" w:hAnsi="Times New Roman" w:cs="Times New Roman"/>
          <w:sz w:val="24"/>
          <w:szCs w:val="24"/>
        </w:rPr>
        <w:lastRenderedPageBreak/>
        <w:t>- Improved outbreak response times.</w:t>
      </w:r>
      <w:r w:rsidRPr="007539ED">
        <w:rPr>
          <w:rFonts w:ascii="Times New Roman" w:hAnsi="Times New Roman" w:cs="Times New Roman"/>
          <w:sz w:val="24"/>
          <w:szCs w:val="24"/>
        </w:rPr>
        <w:br/>
        <w:t>- Enhanced community trust in public health systems.</w:t>
      </w:r>
    </w:p>
    <w:p w14:paraId="524CFB6D" w14:textId="77777777" w:rsidR="00060E76" w:rsidRPr="007539ED" w:rsidRDefault="00060E76" w:rsidP="00060E76">
      <w:pPr>
        <w:spacing w:after="0" w:line="480" w:lineRule="auto"/>
        <w:rPr>
          <w:rFonts w:ascii="Times New Roman" w:hAnsi="Times New Roman" w:cs="Times New Roman"/>
          <w:sz w:val="24"/>
          <w:szCs w:val="24"/>
        </w:rPr>
      </w:pPr>
    </w:p>
    <w:p w14:paraId="6E252BB7" w14:textId="14B5B11B"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Social Determinants of Health Analysis</w:t>
      </w:r>
      <w:r w:rsidR="00A4084B">
        <w:rPr>
          <w:rFonts w:ascii="Times New Roman" w:hAnsi="Times New Roman" w:cs="Times New Roman"/>
          <w:color w:val="auto"/>
          <w:sz w:val="24"/>
          <w:szCs w:val="24"/>
        </w:rPr>
        <w:t xml:space="preserve"> </w:t>
      </w:r>
    </w:p>
    <w:p w14:paraId="230AF821" w14:textId="1F585E6B" w:rsidR="00A34112" w:rsidRDefault="00000000" w:rsidP="00060E76">
      <w:pPr>
        <w:spacing w:after="0" w:line="480" w:lineRule="auto"/>
        <w:rPr>
          <w:rFonts w:ascii="Times New Roman" w:hAnsi="Times New Roman" w:cs="Times New Roman"/>
          <w:sz w:val="24"/>
          <w:szCs w:val="24"/>
        </w:rPr>
      </w:pPr>
      <w:r w:rsidRPr="007539ED">
        <w:rPr>
          <w:rFonts w:ascii="Times New Roman" w:hAnsi="Times New Roman" w:cs="Times New Roman"/>
          <w:sz w:val="24"/>
          <w:szCs w:val="24"/>
        </w:rPr>
        <w:t>Key SDOH addressed include access to quality healthcare, education, economic stability, and social cohesion. For example, inadequate education limits biosafety training capacity, while poverty restricts access to necessary protective equipment. IBBI’s programs would directly address these determinants by improving local capacity, economic resilience, and public awareness.</w:t>
      </w:r>
    </w:p>
    <w:p w14:paraId="62B6945C" w14:textId="77777777" w:rsidR="00A4084B" w:rsidRPr="007539ED" w:rsidRDefault="00A4084B" w:rsidP="00060E76">
      <w:pPr>
        <w:spacing w:after="0" w:line="480" w:lineRule="auto"/>
        <w:rPr>
          <w:rFonts w:ascii="Times New Roman" w:hAnsi="Times New Roman" w:cs="Times New Roman"/>
          <w:sz w:val="24"/>
          <w:szCs w:val="24"/>
        </w:rPr>
      </w:pPr>
    </w:p>
    <w:p w14:paraId="76DDCC26" w14:textId="77777777" w:rsidR="00A34112" w:rsidRPr="007539ED" w:rsidRDefault="00000000" w:rsidP="00060E76">
      <w:pPr>
        <w:pStyle w:val="Heading2"/>
        <w:spacing w:before="0" w:line="480" w:lineRule="auto"/>
        <w:rPr>
          <w:rFonts w:ascii="Times New Roman" w:hAnsi="Times New Roman" w:cs="Times New Roman"/>
          <w:color w:val="auto"/>
          <w:sz w:val="24"/>
          <w:szCs w:val="24"/>
        </w:rPr>
      </w:pPr>
      <w:r w:rsidRPr="007539ED">
        <w:rPr>
          <w:rFonts w:ascii="Times New Roman" w:hAnsi="Times New Roman" w:cs="Times New Roman"/>
          <w:color w:val="auto"/>
          <w:sz w:val="24"/>
          <w:szCs w:val="24"/>
        </w:rPr>
        <w:t>Reflection and Rationale</w:t>
      </w:r>
    </w:p>
    <w:p w14:paraId="35EDB68E" w14:textId="12DA9773" w:rsidR="00A34112" w:rsidRPr="007539ED" w:rsidRDefault="00000000" w:rsidP="00060E76">
      <w:pPr>
        <w:spacing w:after="0" w:line="480" w:lineRule="auto"/>
        <w:rPr>
          <w:rFonts w:ascii="Times New Roman" w:hAnsi="Times New Roman" w:cs="Times New Roman"/>
          <w:sz w:val="24"/>
          <w:szCs w:val="24"/>
        </w:rPr>
      </w:pPr>
      <w:r w:rsidRPr="007539ED">
        <w:rPr>
          <w:rFonts w:ascii="Times New Roman" w:hAnsi="Times New Roman" w:cs="Times New Roman"/>
          <w:sz w:val="24"/>
          <w:szCs w:val="24"/>
        </w:rPr>
        <w:t>The design of IBBI reflects lessons learned from past public health crises such as Hurricane Katrina, COVID-19, and the West African Ebola outbreak. Decisions were guided by the need to bridge global inequities, foster trust, and create durable systems that prevent small-scale incidents from becoming global catastrophes. Challenges include navigating political sensitivities, securing sustainable funding, and balancing scientific openness with security concerns. Opportunities lie in creating a trusted global mechanism for equitable biosafety and biosecurity, ultimately strengthening both health systems and community resilience</w:t>
      </w:r>
      <w:r w:rsidR="00A4084B">
        <w:rPr>
          <w:rFonts w:ascii="Times New Roman" w:hAnsi="Times New Roman" w:cs="Times New Roman"/>
          <w:sz w:val="24"/>
          <w:szCs w:val="24"/>
        </w:rPr>
        <w:t xml:space="preserve"> in the face of rapidly changing biotechnology landscape</w:t>
      </w:r>
      <w:r w:rsidRPr="007539ED">
        <w:rPr>
          <w:rFonts w:ascii="Times New Roman" w:hAnsi="Times New Roman" w:cs="Times New Roman"/>
          <w:sz w:val="24"/>
          <w:szCs w:val="24"/>
        </w:rPr>
        <w:t>.</w:t>
      </w:r>
    </w:p>
    <w:p w14:paraId="03C4F11A" w14:textId="77777777" w:rsidR="00060E76" w:rsidRPr="007539ED" w:rsidRDefault="00060E76">
      <w:pPr>
        <w:rPr>
          <w:rFonts w:ascii="Times New Roman" w:eastAsiaTheme="majorEastAsia" w:hAnsi="Times New Roman" w:cs="Times New Roman"/>
          <w:b/>
          <w:bCs/>
          <w:sz w:val="24"/>
          <w:szCs w:val="24"/>
        </w:rPr>
      </w:pPr>
      <w:r w:rsidRPr="007539ED">
        <w:rPr>
          <w:rFonts w:ascii="Times New Roman" w:hAnsi="Times New Roman" w:cs="Times New Roman"/>
          <w:sz w:val="24"/>
          <w:szCs w:val="24"/>
        </w:rPr>
        <w:br w:type="page"/>
      </w:r>
    </w:p>
    <w:p w14:paraId="7B813D06" w14:textId="6E566747" w:rsidR="00A34112" w:rsidRDefault="00000000">
      <w:pPr>
        <w:pStyle w:val="Heading2"/>
        <w:rPr>
          <w:rFonts w:ascii="Times New Roman" w:hAnsi="Times New Roman" w:cs="Times New Roman"/>
          <w:color w:val="auto"/>
          <w:sz w:val="24"/>
          <w:szCs w:val="24"/>
        </w:rPr>
      </w:pPr>
      <w:r w:rsidRPr="007539ED">
        <w:rPr>
          <w:rFonts w:ascii="Times New Roman" w:hAnsi="Times New Roman" w:cs="Times New Roman"/>
          <w:color w:val="auto"/>
          <w:sz w:val="24"/>
          <w:szCs w:val="24"/>
        </w:rPr>
        <w:lastRenderedPageBreak/>
        <w:t>References</w:t>
      </w:r>
    </w:p>
    <w:p w14:paraId="3F2CEA0B" w14:textId="77777777" w:rsidR="00A4084B" w:rsidRPr="00A4084B" w:rsidRDefault="00A4084B" w:rsidP="00A4084B"/>
    <w:p w14:paraId="13218BB8" w14:textId="48C3A561" w:rsidR="00060E76" w:rsidRPr="007539ED" w:rsidRDefault="00000000">
      <w:pPr>
        <w:rPr>
          <w:rFonts w:ascii="Times New Roman" w:hAnsi="Times New Roman" w:cs="Times New Roman"/>
          <w:sz w:val="24"/>
          <w:szCs w:val="24"/>
        </w:rPr>
      </w:pPr>
      <w:r w:rsidRPr="007539ED">
        <w:rPr>
          <w:rFonts w:ascii="Times New Roman" w:hAnsi="Times New Roman" w:cs="Times New Roman"/>
          <w:sz w:val="24"/>
          <w:szCs w:val="24"/>
        </w:rPr>
        <w:t xml:space="preserve">Centers for Disease Control and Prevention. (2011). Principles of community engagement (2nd ed.). </w:t>
      </w:r>
      <w:hyperlink r:id="rId8" w:history="1">
        <w:r w:rsidR="00060E76" w:rsidRPr="007539ED">
          <w:rPr>
            <w:rStyle w:val="Hyperlink"/>
            <w:rFonts w:ascii="Times New Roman" w:hAnsi="Times New Roman" w:cs="Times New Roman"/>
            <w:color w:val="auto"/>
            <w:sz w:val="24"/>
            <w:szCs w:val="24"/>
          </w:rPr>
          <w:t>https://www.atsdr.cdc.gov/communityengagement</w:t>
        </w:r>
      </w:hyperlink>
    </w:p>
    <w:p w14:paraId="30002D83" w14:textId="5B776ECC" w:rsidR="00060E76" w:rsidRPr="007539ED" w:rsidRDefault="00000000">
      <w:pPr>
        <w:rPr>
          <w:rFonts w:ascii="Times New Roman" w:hAnsi="Times New Roman" w:cs="Times New Roman"/>
          <w:sz w:val="24"/>
          <w:szCs w:val="24"/>
        </w:rPr>
      </w:pPr>
      <w:r w:rsidRPr="007539ED">
        <w:rPr>
          <w:rFonts w:ascii="Times New Roman" w:hAnsi="Times New Roman" w:cs="Times New Roman"/>
          <w:sz w:val="24"/>
          <w:szCs w:val="24"/>
        </w:rPr>
        <w:br/>
        <w:t>World Health Organization. (2022). Laboratory biosafety manual (4th ed.). WHO Press.</w:t>
      </w:r>
      <w:r w:rsidRPr="007539ED">
        <w:rPr>
          <w:rFonts w:ascii="Times New Roman" w:hAnsi="Times New Roman" w:cs="Times New Roman"/>
          <w:sz w:val="24"/>
          <w:szCs w:val="24"/>
        </w:rPr>
        <w:br/>
        <w:t xml:space="preserve">United Nations Office for Disarmament Affairs. (2021). Biological Weapons Convention. </w:t>
      </w:r>
      <w:hyperlink r:id="rId9" w:history="1">
        <w:r w:rsidR="00060E76" w:rsidRPr="007539ED">
          <w:rPr>
            <w:rStyle w:val="Hyperlink"/>
            <w:rFonts w:ascii="Times New Roman" w:hAnsi="Times New Roman" w:cs="Times New Roman"/>
            <w:color w:val="auto"/>
            <w:sz w:val="24"/>
            <w:szCs w:val="24"/>
          </w:rPr>
          <w:t>https://www.un.org/disarmament/biological-weapons</w:t>
        </w:r>
      </w:hyperlink>
    </w:p>
    <w:p w14:paraId="7F88E2C2" w14:textId="77777777" w:rsidR="00060E76" w:rsidRPr="007539ED" w:rsidRDefault="00000000">
      <w:pPr>
        <w:rPr>
          <w:rFonts w:ascii="Times New Roman" w:hAnsi="Times New Roman" w:cs="Times New Roman"/>
          <w:sz w:val="24"/>
          <w:szCs w:val="24"/>
        </w:rPr>
      </w:pPr>
      <w:r w:rsidRPr="007539ED">
        <w:rPr>
          <w:rFonts w:ascii="Times New Roman" w:hAnsi="Times New Roman" w:cs="Times New Roman"/>
          <w:sz w:val="24"/>
          <w:szCs w:val="24"/>
        </w:rPr>
        <w:br/>
        <w:t>Solar, O., &amp; Irwin, A. (2010). A conceptual framework for action on the social determinants of health. WHO.</w:t>
      </w:r>
    </w:p>
    <w:p w14:paraId="280F0E69" w14:textId="0FE28159" w:rsidR="00A34112" w:rsidRDefault="00000000">
      <w:r w:rsidRPr="007539ED">
        <w:rPr>
          <w:rFonts w:ascii="Times New Roman" w:hAnsi="Times New Roman" w:cs="Times New Roman"/>
          <w:sz w:val="24"/>
          <w:szCs w:val="24"/>
        </w:rPr>
        <w:br/>
        <w:t>Koblentz, G. D. (2020). Strengthening global biosecurity. Council on Foreign</w:t>
      </w:r>
      <w:r>
        <w:t xml:space="preserve"> Relations.</w:t>
      </w:r>
    </w:p>
    <w:sectPr w:rsidR="00A34112"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532C" w14:textId="77777777" w:rsidR="009A2938" w:rsidRDefault="009A2938" w:rsidP="007539ED">
      <w:pPr>
        <w:spacing w:after="0" w:line="240" w:lineRule="auto"/>
      </w:pPr>
      <w:r>
        <w:separator/>
      </w:r>
    </w:p>
  </w:endnote>
  <w:endnote w:type="continuationSeparator" w:id="0">
    <w:p w14:paraId="392A7ACD" w14:textId="77777777" w:rsidR="009A2938" w:rsidRDefault="009A2938" w:rsidP="0075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A06B" w14:textId="77777777" w:rsidR="009A2938" w:rsidRDefault="009A2938" w:rsidP="007539ED">
      <w:pPr>
        <w:spacing w:after="0" w:line="240" w:lineRule="auto"/>
      </w:pPr>
      <w:r>
        <w:separator/>
      </w:r>
    </w:p>
  </w:footnote>
  <w:footnote w:type="continuationSeparator" w:id="0">
    <w:p w14:paraId="314BF316" w14:textId="77777777" w:rsidR="009A2938" w:rsidRDefault="009A2938" w:rsidP="0075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45C8" w14:textId="40B633F9" w:rsidR="0081110B" w:rsidRDefault="0081110B" w:rsidP="0081110B">
    <w:pPr>
      <w:pStyle w:val="Header"/>
      <w:tabs>
        <w:tab w:val="clear" w:pos="9360"/>
        <w:tab w:val="right" w:pos="8640"/>
      </w:tabs>
    </w:pPr>
    <w:r>
      <w:t>Community Organization Paper, IBBI, Eddy</w:t>
    </w:r>
    <w:r>
      <w:tab/>
    </w:r>
    <w:sdt>
      <w:sdtPr>
        <w:id w:val="-720670446"/>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p w14:paraId="1CEF077C" w14:textId="71E4C6A5" w:rsidR="0081110B" w:rsidRDefault="0081110B" w:rsidP="0081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7E0B5E"/>
    <w:multiLevelType w:val="hybridMultilevel"/>
    <w:tmpl w:val="B81EEBE2"/>
    <w:lvl w:ilvl="0" w:tplc="A91AF8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950C3"/>
    <w:multiLevelType w:val="hybridMultilevel"/>
    <w:tmpl w:val="756C2CFE"/>
    <w:lvl w:ilvl="0" w:tplc="C41E626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8240589">
    <w:abstractNumId w:val="8"/>
  </w:num>
  <w:num w:numId="2" w16cid:durableId="326440774">
    <w:abstractNumId w:val="6"/>
  </w:num>
  <w:num w:numId="3" w16cid:durableId="269168740">
    <w:abstractNumId w:val="5"/>
  </w:num>
  <w:num w:numId="4" w16cid:durableId="2069761822">
    <w:abstractNumId w:val="4"/>
  </w:num>
  <w:num w:numId="5" w16cid:durableId="113603696">
    <w:abstractNumId w:val="7"/>
  </w:num>
  <w:num w:numId="6" w16cid:durableId="1791850861">
    <w:abstractNumId w:val="3"/>
  </w:num>
  <w:num w:numId="7" w16cid:durableId="1575972498">
    <w:abstractNumId w:val="2"/>
  </w:num>
  <w:num w:numId="8" w16cid:durableId="1131752411">
    <w:abstractNumId w:val="1"/>
  </w:num>
  <w:num w:numId="9" w16cid:durableId="2050761626">
    <w:abstractNumId w:val="0"/>
  </w:num>
  <w:num w:numId="10" w16cid:durableId="27797881">
    <w:abstractNumId w:val="9"/>
  </w:num>
  <w:num w:numId="11" w16cid:durableId="1982228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E76"/>
    <w:rsid w:val="0015074B"/>
    <w:rsid w:val="0029639D"/>
    <w:rsid w:val="00326F90"/>
    <w:rsid w:val="006061D7"/>
    <w:rsid w:val="007539ED"/>
    <w:rsid w:val="0081110B"/>
    <w:rsid w:val="00863C81"/>
    <w:rsid w:val="00905723"/>
    <w:rsid w:val="009A2938"/>
    <w:rsid w:val="00A34112"/>
    <w:rsid w:val="00A4084B"/>
    <w:rsid w:val="00AA1D8D"/>
    <w:rsid w:val="00B47730"/>
    <w:rsid w:val="00B60A7F"/>
    <w:rsid w:val="00CB0664"/>
    <w:rsid w:val="00FC693F"/>
    <w:rsid w:val="00FE4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DFC50"/>
  <w14:defaultImageDpi w14:val="300"/>
  <w15:docId w15:val="{B087C148-F09A-4A34-B7BF-68D0A22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60E76"/>
    <w:rPr>
      <w:color w:val="0000FF" w:themeColor="hyperlink"/>
      <w:u w:val="single"/>
    </w:rPr>
  </w:style>
  <w:style w:type="character" w:styleId="UnresolvedMention">
    <w:name w:val="Unresolved Mention"/>
    <w:basedOn w:val="DefaultParagraphFont"/>
    <w:uiPriority w:val="99"/>
    <w:semiHidden/>
    <w:unhideWhenUsed/>
    <w:rsid w:val="0006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sdr.cdc.gov/communityengag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org/disarmament/biological-weap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Vanessa Eddy</cp:lastModifiedBy>
  <cp:revision>2</cp:revision>
  <dcterms:created xsi:type="dcterms:W3CDTF">2025-08-12T04:32:00Z</dcterms:created>
  <dcterms:modified xsi:type="dcterms:W3CDTF">2025-08-12T04:32:00Z</dcterms:modified>
  <cp:category/>
</cp:coreProperties>
</file>